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056" w:rsidRPr="00D101C1" w:rsidRDefault="00B91056" w:rsidP="00B952A7">
      <w:pPr>
        <w:pBdr>
          <w:top w:val="single" w:sz="6" w:space="1" w:color="auto"/>
          <w:left w:val="single" w:sz="6" w:space="0" w:color="auto"/>
          <w:bottom w:val="single" w:sz="6" w:space="1" w:color="auto"/>
          <w:right w:val="single" w:sz="6" w:space="0" w:color="auto"/>
        </w:pBdr>
        <w:shd w:val="clear" w:color="auto" w:fill="D9D9D9" w:themeFill="background1" w:themeFillShade="D9"/>
        <w:spacing w:line="276" w:lineRule="auto"/>
        <w:jc w:val="center"/>
        <w:rPr>
          <w:rFonts w:cs="Arial"/>
          <w:b/>
          <w:sz w:val="40"/>
          <w:szCs w:val="40"/>
        </w:rPr>
      </w:pPr>
      <w:bookmarkStart w:id="0" w:name="_GoBack"/>
      <w:bookmarkEnd w:id="0"/>
      <w:r w:rsidRPr="00D101C1">
        <w:rPr>
          <w:rFonts w:cs="Arial"/>
          <w:b/>
          <w:sz w:val="40"/>
          <w:szCs w:val="40"/>
        </w:rPr>
        <w:t>KlientenI</w:t>
      </w:r>
      <w:r w:rsidR="00D101C1">
        <w:rPr>
          <w:rFonts w:cs="Arial"/>
          <w:b/>
          <w:sz w:val="40"/>
          <w:szCs w:val="40"/>
        </w:rPr>
        <w:t>NFO</w:t>
      </w:r>
    </w:p>
    <w:p w:rsidR="00D0636D" w:rsidRPr="007F3421" w:rsidRDefault="00B91056" w:rsidP="007F3421">
      <w:pPr>
        <w:pBdr>
          <w:top w:val="single" w:sz="6" w:space="1" w:color="auto"/>
          <w:left w:val="single" w:sz="6" w:space="0" w:color="auto"/>
          <w:bottom w:val="single" w:sz="6" w:space="1" w:color="auto"/>
          <w:right w:val="single" w:sz="6" w:space="0" w:color="auto"/>
        </w:pBdr>
        <w:shd w:val="clear" w:color="auto" w:fill="D9D9D9" w:themeFill="background1" w:themeFillShade="D9"/>
        <w:spacing w:line="276" w:lineRule="auto"/>
        <w:jc w:val="center"/>
        <w:rPr>
          <w:rFonts w:cs="Arial"/>
          <w:b/>
        </w:rPr>
      </w:pPr>
      <w:r w:rsidRPr="002903A7">
        <w:rPr>
          <w:rFonts w:cs="Arial"/>
          <w:b/>
          <w:sz w:val="40"/>
          <w:szCs w:val="40"/>
        </w:rPr>
        <w:t>Checkliste „Steuertipps zum Jahresende 20</w:t>
      </w:r>
      <w:r w:rsidR="009547C8" w:rsidRPr="002903A7">
        <w:rPr>
          <w:rFonts w:cs="Arial"/>
          <w:b/>
          <w:sz w:val="40"/>
          <w:szCs w:val="40"/>
        </w:rPr>
        <w:t>2</w:t>
      </w:r>
      <w:r w:rsidR="008D280E">
        <w:rPr>
          <w:rFonts w:cs="Arial"/>
          <w:b/>
          <w:sz w:val="40"/>
          <w:szCs w:val="40"/>
        </w:rPr>
        <w:t>2</w:t>
      </w:r>
      <w:r w:rsidR="00F626E3">
        <w:rPr>
          <w:rFonts w:cs="Arial"/>
          <w:b/>
          <w:sz w:val="40"/>
          <w:szCs w:val="40"/>
        </w:rPr>
        <w:t>“</w:t>
      </w:r>
    </w:p>
    <w:p w:rsidR="00B91056" w:rsidRPr="002903A7" w:rsidRDefault="00B91056" w:rsidP="00B952A7">
      <w:pPr>
        <w:spacing w:line="276" w:lineRule="auto"/>
        <w:jc w:val="both"/>
        <w:rPr>
          <w:rFonts w:cs="Arial"/>
        </w:rPr>
      </w:pPr>
    </w:p>
    <w:p w:rsidR="00D610B6" w:rsidRDefault="00752662" w:rsidP="00333F51">
      <w:pPr>
        <w:spacing w:line="276" w:lineRule="auto"/>
        <w:jc w:val="both"/>
        <w:rPr>
          <w:rFonts w:cs="Arial"/>
        </w:rPr>
      </w:pPr>
      <w:r>
        <w:rPr>
          <w:rFonts w:cs="Arial"/>
        </w:rPr>
        <w:t xml:space="preserve">Aufgrund der im Jahr 2022 zahlreichen neuen Regelungen wie beispielsweise </w:t>
      </w:r>
      <w:r w:rsidRPr="00EB73CB">
        <w:rPr>
          <w:rFonts w:cs="Arial"/>
        </w:rPr>
        <w:t xml:space="preserve">der ökosozialen Steuerreform </w:t>
      </w:r>
      <w:r>
        <w:rPr>
          <w:rFonts w:cs="Arial"/>
        </w:rPr>
        <w:t xml:space="preserve">und der </w:t>
      </w:r>
      <w:r w:rsidRPr="00EB73CB">
        <w:rPr>
          <w:rFonts w:cs="Arial"/>
        </w:rPr>
        <w:t xml:space="preserve">Teuerungs-Entlastungspakete </w:t>
      </w:r>
      <w:r w:rsidR="00D610B6" w:rsidRPr="00EB73CB">
        <w:rPr>
          <w:rFonts w:cs="Arial"/>
        </w:rPr>
        <w:t xml:space="preserve">empfiehlt es sich besonders </w:t>
      </w:r>
      <w:r w:rsidR="007725BE" w:rsidRPr="00EB73CB">
        <w:rPr>
          <w:rFonts w:cs="Arial"/>
        </w:rPr>
        <w:t xml:space="preserve">heuer </w:t>
      </w:r>
      <w:r w:rsidR="00D610B6" w:rsidRPr="00EB73CB">
        <w:rPr>
          <w:rFonts w:cs="Arial"/>
        </w:rPr>
        <w:t>rechtzeitig vor dem Jahresende einen Steuer-Check zu machen und sich folgende Fragen zu stellen: Wurden auch alle Möglichkeiten legaler steuerlicher Gestaltungen wirklich genutzt</w:t>
      </w:r>
      <w:r w:rsidR="00D610B6" w:rsidRPr="00333F51">
        <w:rPr>
          <w:rFonts w:cs="Arial"/>
        </w:rPr>
        <w:t xml:space="preserve"> und nichts übersehen? Was ist vor dem Jahreswechsel noch unbedingt zu erledigen? Denn am 32. Dezember ist es jedenfalls zu spät!</w:t>
      </w:r>
    </w:p>
    <w:p w:rsidR="00EB73CB" w:rsidRPr="006A08E6" w:rsidRDefault="008A7957" w:rsidP="006A08E6">
      <w:pPr>
        <w:pStyle w:val="Verzeichnis1"/>
        <w:tabs>
          <w:tab w:val="right" w:leader="dot" w:pos="9204"/>
        </w:tabs>
        <w:spacing w:line="276" w:lineRule="auto"/>
        <w:ind w:left="426" w:hanging="426"/>
        <w:rPr>
          <w:rFonts w:ascii="Arial" w:eastAsiaTheme="minorEastAsia" w:hAnsi="Arial" w:cs="Arial"/>
          <w:b w:val="0"/>
          <w:bCs w:val="0"/>
          <w:caps w:val="0"/>
          <w:noProof/>
          <w:color w:val="E36C0A" w:themeColor="accent6" w:themeShade="BF"/>
          <w:sz w:val="24"/>
          <w:szCs w:val="24"/>
          <w:lang w:val="de-DE"/>
        </w:rPr>
      </w:pPr>
      <w:r w:rsidRPr="00EB73CB">
        <w:rPr>
          <w:rFonts w:ascii="Arial" w:hAnsi="Arial" w:cs="Arial"/>
          <w:sz w:val="24"/>
          <w:szCs w:val="24"/>
        </w:rPr>
        <w:fldChar w:fldCharType="begin"/>
      </w:r>
      <w:r w:rsidRPr="00EB73CB">
        <w:rPr>
          <w:rFonts w:ascii="Arial" w:hAnsi="Arial" w:cs="Arial"/>
          <w:sz w:val="24"/>
          <w:szCs w:val="24"/>
        </w:rPr>
        <w:instrText xml:space="preserve"> TOC \o "1-2" \h \z \u </w:instrText>
      </w:r>
      <w:r w:rsidRPr="00EB73CB">
        <w:rPr>
          <w:rFonts w:ascii="Arial" w:hAnsi="Arial" w:cs="Arial"/>
          <w:sz w:val="24"/>
          <w:szCs w:val="24"/>
        </w:rPr>
        <w:fldChar w:fldCharType="separate"/>
      </w:r>
      <w:hyperlink w:anchor="_Toc116923124" w:history="1">
        <w:r w:rsidR="00EB73CB" w:rsidRPr="00752662">
          <w:rPr>
            <w:rStyle w:val="Hyperlink"/>
            <w:rFonts w:ascii="Arial" w:hAnsi="Arial" w:cs="Arial"/>
            <w:noProof/>
            <w:color w:val="E36C0A" w:themeColor="accent6" w:themeShade="BF"/>
            <w:sz w:val="24"/>
            <w:szCs w:val="24"/>
            <w:u w:val="none"/>
          </w:rPr>
          <w:t>St</w:t>
        </w:r>
        <w:r w:rsidR="00EB73CB" w:rsidRPr="006A08E6">
          <w:rPr>
            <w:rStyle w:val="Hyperlink"/>
            <w:rFonts w:ascii="Arial" w:hAnsi="Arial" w:cs="Arial"/>
            <w:noProof/>
            <w:color w:val="E36C0A" w:themeColor="accent6" w:themeShade="BF"/>
            <w:sz w:val="24"/>
            <w:szCs w:val="24"/>
          </w:rPr>
          <w:t>euertipps für Unternehmer</w:t>
        </w:r>
        <w:r w:rsidR="00EB73CB" w:rsidRPr="006A08E6">
          <w:rPr>
            <w:rFonts w:ascii="Arial" w:hAnsi="Arial" w:cs="Arial"/>
            <w:noProof/>
            <w:webHidden/>
            <w:color w:val="E36C0A" w:themeColor="accent6" w:themeShade="BF"/>
            <w:sz w:val="24"/>
            <w:szCs w:val="24"/>
          </w:rPr>
          <w:tab/>
        </w:r>
        <w:r w:rsidR="00EB73CB" w:rsidRPr="006A08E6">
          <w:rPr>
            <w:rFonts w:ascii="Arial" w:hAnsi="Arial" w:cs="Arial"/>
            <w:noProof/>
            <w:webHidden/>
            <w:color w:val="E36C0A" w:themeColor="accent6" w:themeShade="BF"/>
            <w:sz w:val="24"/>
            <w:szCs w:val="24"/>
          </w:rPr>
          <w:fldChar w:fldCharType="begin"/>
        </w:r>
        <w:r w:rsidR="00EB73CB" w:rsidRPr="006A08E6">
          <w:rPr>
            <w:rFonts w:ascii="Arial" w:hAnsi="Arial" w:cs="Arial"/>
            <w:noProof/>
            <w:webHidden/>
            <w:color w:val="E36C0A" w:themeColor="accent6" w:themeShade="BF"/>
            <w:sz w:val="24"/>
            <w:szCs w:val="24"/>
          </w:rPr>
          <w:instrText xml:space="preserve"> PAGEREF _Toc116923124 \h </w:instrText>
        </w:r>
        <w:r w:rsidR="00EB73CB" w:rsidRPr="006A08E6">
          <w:rPr>
            <w:rFonts w:ascii="Arial" w:hAnsi="Arial" w:cs="Arial"/>
            <w:noProof/>
            <w:webHidden/>
            <w:color w:val="E36C0A" w:themeColor="accent6" w:themeShade="BF"/>
            <w:sz w:val="24"/>
            <w:szCs w:val="24"/>
          </w:rPr>
        </w:r>
        <w:r w:rsidR="00EB73CB" w:rsidRPr="006A08E6">
          <w:rPr>
            <w:rFonts w:ascii="Arial" w:hAnsi="Arial" w:cs="Arial"/>
            <w:noProof/>
            <w:webHidden/>
            <w:color w:val="E36C0A" w:themeColor="accent6" w:themeShade="BF"/>
            <w:sz w:val="24"/>
            <w:szCs w:val="24"/>
          </w:rPr>
          <w:fldChar w:fldCharType="separate"/>
        </w:r>
        <w:r w:rsidR="003A7CEA">
          <w:rPr>
            <w:rFonts w:ascii="Arial" w:hAnsi="Arial" w:cs="Arial"/>
            <w:noProof/>
            <w:webHidden/>
            <w:color w:val="E36C0A" w:themeColor="accent6" w:themeShade="BF"/>
            <w:sz w:val="24"/>
            <w:szCs w:val="24"/>
          </w:rPr>
          <w:t>3</w:t>
        </w:r>
        <w:r w:rsidR="00EB73CB" w:rsidRPr="006A08E6">
          <w:rPr>
            <w:rFonts w:ascii="Arial" w:hAnsi="Arial" w:cs="Arial"/>
            <w:noProof/>
            <w:webHidden/>
            <w:color w:val="E36C0A" w:themeColor="accent6" w:themeShade="BF"/>
            <w:sz w:val="24"/>
            <w:szCs w:val="24"/>
          </w:rPr>
          <w:fldChar w:fldCharType="end"/>
        </w:r>
      </w:hyperlink>
    </w:p>
    <w:p w:rsidR="00EB73CB" w:rsidRPr="00EB73CB" w:rsidRDefault="006A08E6" w:rsidP="006A08E6">
      <w:pPr>
        <w:pStyle w:val="Verzeichnis1"/>
        <w:tabs>
          <w:tab w:val="left" w:pos="567"/>
          <w:tab w:val="right" w:leader="dot" w:pos="9204"/>
        </w:tabs>
        <w:spacing w:line="276" w:lineRule="auto"/>
        <w:ind w:left="426" w:hanging="426"/>
        <w:rPr>
          <w:rFonts w:ascii="Arial" w:eastAsiaTheme="minorEastAsia" w:hAnsi="Arial" w:cs="Arial"/>
          <w:b w:val="0"/>
          <w:bCs w:val="0"/>
          <w:caps w:val="0"/>
          <w:noProof/>
          <w:sz w:val="24"/>
          <w:szCs w:val="24"/>
          <w:lang w:val="de-DE"/>
        </w:rPr>
      </w:pPr>
      <w:r w:rsidRPr="006A08E6">
        <w:rPr>
          <w:rStyle w:val="Hyperlink"/>
          <w:rFonts w:ascii="Arial" w:hAnsi="Arial" w:cs="Arial"/>
          <w:b w:val="0"/>
          <w:bCs w:val="0"/>
          <w:noProof/>
          <w:color w:val="auto"/>
          <w:sz w:val="24"/>
          <w:szCs w:val="24"/>
          <w:u w:val="none"/>
        </w:rPr>
        <w:sym w:font="Wingdings" w:char="F070"/>
      </w:r>
      <w:r w:rsidRPr="006A08E6">
        <w:rPr>
          <w:rStyle w:val="Hyperlink"/>
          <w:rFonts w:ascii="Arial" w:hAnsi="Arial" w:cs="Arial"/>
          <w:b w:val="0"/>
          <w:bCs w:val="0"/>
          <w:noProof/>
          <w:color w:val="auto"/>
          <w:sz w:val="24"/>
          <w:szCs w:val="24"/>
          <w:u w:val="none"/>
        </w:rPr>
        <w:t xml:space="preserve">  </w:t>
      </w:r>
      <w:hyperlink w:anchor="_Toc116923125" w:history="1">
        <w:r w:rsidR="00EB73CB" w:rsidRPr="00EB73CB">
          <w:rPr>
            <w:rStyle w:val="Hyperlink"/>
            <w:rFonts w:ascii="Arial" w:hAnsi="Arial" w:cs="Arial"/>
            <w:noProof/>
            <w:color w:val="auto"/>
            <w:sz w:val="24"/>
            <w:szCs w:val="24"/>
          </w:rPr>
          <w:t>1</w:t>
        </w:r>
        <w:r w:rsidR="00EB73CB" w:rsidRPr="00EB73CB">
          <w:rPr>
            <w:rFonts w:ascii="Arial" w:eastAsiaTheme="minorEastAsia" w:hAnsi="Arial" w:cs="Arial"/>
            <w:b w:val="0"/>
            <w:bCs w:val="0"/>
            <w:caps w:val="0"/>
            <w:noProof/>
            <w:sz w:val="24"/>
            <w:szCs w:val="24"/>
            <w:lang w:val="de-DE"/>
          </w:rPr>
          <w:tab/>
        </w:r>
        <w:r w:rsidR="00EB73CB" w:rsidRPr="00EB73CB">
          <w:rPr>
            <w:rStyle w:val="Hyperlink"/>
            <w:rFonts w:ascii="Arial" w:hAnsi="Arial" w:cs="Arial"/>
            <w:noProof/>
            <w:color w:val="auto"/>
            <w:sz w:val="24"/>
            <w:szCs w:val="24"/>
          </w:rPr>
          <w:t>WORAUF SIE BEI INVESTITIONEN IM JAHR 2022 ACHTEN SOLLTEN</w:t>
        </w:r>
        <w:r w:rsidR="00EB73CB" w:rsidRPr="00EB73CB">
          <w:rPr>
            <w:rFonts w:ascii="Arial" w:hAnsi="Arial" w:cs="Arial"/>
            <w:noProof/>
            <w:webHidden/>
            <w:sz w:val="24"/>
            <w:szCs w:val="24"/>
          </w:rPr>
          <w:tab/>
        </w:r>
        <w:r w:rsidR="00EB73CB" w:rsidRPr="00EB73CB">
          <w:rPr>
            <w:rFonts w:ascii="Arial" w:hAnsi="Arial" w:cs="Arial"/>
            <w:noProof/>
            <w:webHidden/>
            <w:sz w:val="24"/>
            <w:szCs w:val="24"/>
          </w:rPr>
          <w:fldChar w:fldCharType="begin"/>
        </w:r>
        <w:r w:rsidR="00EB73CB" w:rsidRPr="00EB73CB">
          <w:rPr>
            <w:rFonts w:ascii="Arial" w:hAnsi="Arial" w:cs="Arial"/>
            <w:noProof/>
            <w:webHidden/>
            <w:sz w:val="24"/>
            <w:szCs w:val="24"/>
          </w:rPr>
          <w:instrText xml:space="preserve"> PAGEREF _Toc116923125 \h </w:instrText>
        </w:r>
        <w:r w:rsidR="00EB73CB" w:rsidRPr="00EB73CB">
          <w:rPr>
            <w:rFonts w:ascii="Arial" w:hAnsi="Arial" w:cs="Arial"/>
            <w:noProof/>
            <w:webHidden/>
            <w:sz w:val="24"/>
            <w:szCs w:val="24"/>
          </w:rPr>
        </w:r>
        <w:r w:rsidR="00EB73CB" w:rsidRPr="00EB73CB">
          <w:rPr>
            <w:rFonts w:ascii="Arial" w:hAnsi="Arial" w:cs="Arial"/>
            <w:noProof/>
            <w:webHidden/>
            <w:sz w:val="24"/>
            <w:szCs w:val="24"/>
          </w:rPr>
          <w:fldChar w:fldCharType="separate"/>
        </w:r>
        <w:r w:rsidR="003A7CEA">
          <w:rPr>
            <w:rFonts w:ascii="Arial" w:hAnsi="Arial" w:cs="Arial"/>
            <w:noProof/>
            <w:webHidden/>
            <w:sz w:val="24"/>
            <w:szCs w:val="24"/>
          </w:rPr>
          <w:t>3</w:t>
        </w:r>
        <w:r w:rsidR="00EB73CB" w:rsidRPr="00EB73CB">
          <w:rPr>
            <w:rFonts w:ascii="Arial" w:hAnsi="Arial" w:cs="Arial"/>
            <w:noProof/>
            <w:webHidden/>
            <w:sz w:val="24"/>
            <w:szCs w:val="24"/>
          </w:rPr>
          <w:fldChar w:fldCharType="end"/>
        </w:r>
      </w:hyperlink>
    </w:p>
    <w:p w:rsidR="00EB73CB" w:rsidRPr="00EB73CB" w:rsidRDefault="006A08E6" w:rsidP="00752662">
      <w:pPr>
        <w:pStyle w:val="Verzeichnis2"/>
        <w:rPr>
          <w:rFonts w:eastAsiaTheme="minorEastAsia"/>
          <w:lang w:val="de-DE"/>
        </w:rPr>
      </w:pPr>
      <w:r w:rsidRPr="006A08E6">
        <w:rPr>
          <w:rStyle w:val="Hyperlink"/>
          <w:color w:val="auto"/>
          <w:u w:val="none"/>
        </w:rPr>
        <w:sym w:font="Wingdings" w:char="F070"/>
      </w:r>
      <w:r w:rsidRPr="006A08E6">
        <w:rPr>
          <w:rStyle w:val="Hyperlink"/>
          <w:b/>
          <w:bCs/>
          <w:color w:val="auto"/>
          <w:u w:val="none"/>
        </w:rPr>
        <w:t xml:space="preserve">  </w:t>
      </w:r>
      <w:hyperlink w:anchor="_Toc116923126" w:history="1">
        <w:r w:rsidR="00EB73CB" w:rsidRPr="00EB73CB">
          <w:rPr>
            <w:rStyle w:val="Hyperlink"/>
            <w:color w:val="auto"/>
            <w:lang w:val="de-DE"/>
          </w:rPr>
          <w:t>1.1</w:t>
        </w:r>
        <w:r>
          <w:rPr>
            <w:rStyle w:val="Hyperlink"/>
            <w:color w:val="auto"/>
            <w:lang w:val="de-DE"/>
          </w:rPr>
          <w:t xml:space="preserve"> </w:t>
        </w:r>
        <w:r w:rsidR="00EB73CB" w:rsidRPr="00EB73CB">
          <w:rPr>
            <w:rStyle w:val="Hyperlink"/>
            <w:color w:val="auto"/>
            <w:lang w:val="de-DE"/>
          </w:rPr>
          <w:t>Degressive Abschreibung</w:t>
        </w:r>
        <w:r w:rsidR="00EB73CB" w:rsidRPr="00EB73CB">
          <w:rPr>
            <w:webHidden/>
          </w:rPr>
          <w:tab/>
        </w:r>
        <w:r w:rsidR="00EB73CB" w:rsidRPr="00EB73CB">
          <w:rPr>
            <w:webHidden/>
          </w:rPr>
          <w:fldChar w:fldCharType="begin"/>
        </w:r>
        <w:r w:rsidR="00EB73CB" w:rsidRPr="00EB73CB">
          <w:rPr>
            <w:webHidden/>
          </w:rPr>
          <w:instrText xml:space="preserve"> PAGEREF _Toc116923126 \h </w:instrText>
        </w:r>
        <w:r w:rsidR="00EB73CB" w:rsidRPr="00EB73CB">
          <w:rPr>
            <w:webHidden/>
          </w:rPr>
        </w:r>
        <w:r w:rsidR="00EB73CB" w:rsidRPr="00EB73CB">
          <w:rPr>
            <w:webHidden/>
          </w:rPr>
          <w:fldChar w:fldCharType="separate"/>
        </w:r>
        <w:r w:rsidR="003A7CEA">
          <w:rPr>
            <w:webHidden/>
          </w:rPr>
          <w:t>3</w:t>
        </w:r>
        <w:r w:rsidR="00EB73CB" w:rsidRPr="00EB73CB">
          <w:rPr>
            <w:webHidden/>
          </w:rPr>
          <w:fldChar w:fldCharType="end"/>
        </w:r>
      </w:hyperlink>
    </w:p>
    <w:p w:rsidR="00EB73CB" w:rsidRPr="00EB73CB" w:rsidRDefault="006A08E6" w:rsidP="00752662">
      <w:pPr>
        <w:pStyle w:val="Verzeichnis2"/>
        <w:rPr>
          <w:rFonts w:eastAsiaTheme="minorEastAsia"/>
          <w:lang w:val="de-DE"/>
        </w:rPr>
      </w:pPr>
      <w:r w:rsidRPr="006A08E6">
        <w:rPr>
          <w:rStyle w:val="Hyperlink"/>
          <w:color w:val="auto"/>
          <w:u w:val="none"/>
        </w:rPr>
        <w:sym w:font="Wingdings" w:char="F070"/>
      </w:r>
      <w:r w:rsidRPr="006A08E6">
        <w:rPr>
          <w:rStyle w:val="Hyperlink"/>
          <w:b/>
          <w:bCs/>
          <w:color w:val="auto"/>
          <w:u w:val="none"/>
        </w:rPr>
        <w:t xml:space="preserve">  </w:t>
      </w:r>
      <w:hyperlink w:anchor="_Toc116923127" w:history="1">
        <w:r w:rsidR="00EB73CB" w:rsidRPr="00EB73CB">
          <w:rPr>
            <w:rStyle w:val="Hyperlink"/>
            <w:color w:val="auto"/>
            <w:lang w:val="de-DE"/>
          </w:rPr>
          <w:t>1.2</w:t>
        </w:r>
        <w:r>
          <w:rPr>
            <w:rStyle w:val="Hyperlink"/>
            <w:color w:val="auto"/>
            <w:lang w:val="de-DE"/>
          </w:rPr>
          <w:t xml:space="preserve"> </w:t>
        </w:r>
        <w:r w:rsidR="00EB73CB" w:rsidRPr="00EB73CB">
          <w:rPr>
            <w:rStyle w:val="Hyperlink"/>
            <w:color w:val="auto"/>
            <w:lang w:val="de-DE"/>
          </w:rPr>
          <w:t>Beschleunigte AfA bei Anschaffung oder Herstellung von Gebäuden</w:t>
        </w:r>
        <w:r w:rsidR="00EB73CB" w:rsidRPr="00EB73CB">
          <w:rPr>
            <w:webHidden/>
          </w:rPr>
          <w:tab/>
        </w:r>
        <w:r w:rsidR="00EB73CB" w:rsidRPr="00EB73CB">
          <w:rPr>
            <w:webHidden/>
          </w:rPr>
          <w:fldChar w:fldCharType="begin"/>
        </w:r>
        <w:r w:rsidR="00EB73CB" w:rsidRPr="00EB73CB">
          <w:rPr>
            <w:webHidden/>
          </w:rPr>
          <w:instrText xml:space="preserve"> PAGEREF _Toc116923127 \h </w:instrText>
        </w:r>
        <w:r w:rsidR="00EB73CB" w:rsidRPr="00EB73CB">
          <w:rPr>
            <w:webHidden/>
          </w:rPr>
        </w:r>
        <w:r w:rsidR="00EB73CB" w:rsidRPr="00EB73CB">
          <w:rPr>
            <w:webHidden/>
          </w:rPr>
          <w:fldChar w:fldCharType="separate"/>
        </w:r>
        <w:r w:rsidR="003A7CEA">
          <w:rPr>
            <w:webHidden/>
          </w:rPr>
          <w:t>3</w:t>
        </w:r>
        <w:r w:rsidR="00EB73CB" w:rsidRPr="00EB73CB">
          <w:rPr>
            <w:webHidden/>
          </w:rPr>
          <w:fldChar w:fldCharType="end"/>
        </w:r>
      </w:hyperlink>
    </w:p>
    <w:p w:rsidR="00EB73CB" w:rsidRPr="00EB73CB" w:rsidRDefault="006A08E6" w:rsidP="00752662">
      <w:pPr>
        <w:pStyle w:val="Verzeichnis2"/>
        <w:rPr>
          <w:rFonts w:eastAsiaTheme="minorEastAsia"/>
          <w:lang w:val="de-DE"/>
        </w:rPr>
      </w:pPr>
      <w:r w:rsidRPr="006A08E6">
        <w:rPr>
          <w:rStyle w:val="Hyperlink"/>
          <w:color w:val="auto"/>
          <w:u w:val="none"/>
        </w:rPr>
        <w:sym w:font="Wingdings" w:char="F070"/>
      </w:r>
      <w:r w:rsidRPr="006A08E6">
        <w:rPr>
          <w:rStyle w:val="Hyperlink"/>
          <w:color w:val="auto"/>
          <w:u w:val="none"/>
        </w:rPr>
        <w:t xml:space="preserve"> </w:t>
      </w:r>
      <w:r w:rsidRPr="006A08E6">
        <w:rPr>
          <w:rStyle w:val="Hyperlink"/>
          <w:b/>
          <w:bCs/>
          <w:color w:val="auto"/>
          <w:u w:val="none"/>
        </w:rPr>
        <w:t xml:space="preserve"> </w:t>
      </w:r>
      <w:hyperlink w:anchor="_Toc116923128" w:history="1">
        <w:r w:rsidR="00EB73CB" w:rsidRPr="00EB73CB">
          <w:rPr>
            <w:rStyle w:val="Hyperlink"/>
            <w:color w:val="auto"/>
            <w:lang w:val="de-DE"/>
          </w:rPr>
          <w:t>1.3</w:t>
        </w:r>
        <w:r>
          <w:rPr>
            <w:rStyle w:val="Hyperlink"/>
            <w:color w:val="auto"/>
            <w:lang w:val="de-DE"/>
          </w:rPr>
          <w:t xml:space="preserve"> </w:t>
        </w:r>
        <w:r w:rsidR="00EB73CB" w:rsidRPr="00EB73CB">
          <w:rPr>
            <w:rStyle w:val="Hyperlink"/>
            <w:color w:val="auto"/>
            <w:lang w:val="de-DE"/>
          </w:rPr>
          <w:t>Halbjahresabschreibung, GWG und stille Reserven</w:t>
        </w:r>
        <w:r w:rsidR="00EB73CB" w:rsidRPr="00EB73CB">
          <w:rPr>
            <w:webHidden/>
          </w:rPr>
          <w:tab/>
        </w:r>
        <w:r w:rsidR="00EB73CB" w:rsidRPr="00EB73CB">
          <w:rPr>
            <w:webHidden/>
          </w:rPr>
          <w:fldChar w:fldCharType="begin"/>
        </w:r>
        <w:r w:rsidR="00EB73CB" w:rsidRPr="00EB73CB">
          <w:rPr>
            <w:webHidden/>
          </w:rPr>
          <w:instrText xml:space="preserve"> PAGEREF _Toc116923128 \h </w:instrText>
        </w:r>
        <w:r w:rsidR="00EB73CB" w:rsidRPr="00EB73CB">
          <w:rPr>
            <w:webHidden/>
          </w:rPr>
        </w:r>
        <w:r w:rsidR="00EB73CB" w:rsidRPr="00EB73CB">
          <w:rPr>
            <w:webHidden/>
          </w:rPr>
          <w:fldChar w:fldCharType="separate"/>
        </w:r>
        <w:r w:rsidR="003A7CEA">
          <w:rPr>
            <w:webHidden/>
          </w:rPr>
          <w:t>4</w:t>
        </w:r>
        <w:r w:rsidR="00EB73CB" w:rsidRPr="00EB73CB">
          <w:rPr>
            <w:webHidden/>
          </w:rPr>
          <w:fldChar w:fldCharType="end"/>
        </w:r>
      </w:hyperlink>
    </w:p>
    <w:p w:rsidR="00EB73CB" w:rsidRPr="00EB73CB" w:rsidRDefault="006A08E6" w:rsidP="006A08E6">
      <w:pPr>
        <w:pStyle w:val="Verzeichnis1"/>
        <w:tabs>
          <w:tab w:val="left" w:pos="567"/>
          <w:tab w:val="right" w:leader="dot" w:pos="9204"/>
        </w:tabs>
        <w:spacing w:line="276" w:lineRule="auto"/>
        <w:ind w:left="426" w:hanging="426"/>
        <w:rPr>
          <w:rFonts w:ascii="Arial" w:eastAsiaTheme="minorEastAsia" w:hAnsi="Arial" w:cs="Arial"/>
          <w:b w:val="0"/>
          <w:bCs w:val="0"/>
          <w:caps w:val="0"/>
          <w:noProof/>
          <w:sz w:val="24"/>
          <w:szCs w:val="24"/>
          <w:lang w:val="de-DE"/>
        </w:rPr>
      </w:pPr>
      <w:r w:rsidRPr="006A08E6">
        <w:rPr>
          <w:rStyle w:val="Hyperlink"/>
          <w:rFonts w:ascii="Arial" w:hAnsi="Arial" w:cs="Arial"/>
          <w:b w:val="0"/>
          <w:bCs w:val="0"/>
          <w:noProof/>
          <w:color w:val="auto"/>
          <w:sz w:val="24"/>
          <w:szCs w:val="24"/>
          <w:u w:val="none"/>
        </w:rPr>
        <w:sym w:font="Wingdings" w:char="F070"/>
      </w:r>
      <w:r w:rsidRPr="006A08E6">
        <w:rPr>
          <w:rStyle w:val="Hyperlink"/>
          <w:rFonts w:ascii="Arial" w:hAnsi="Arial" w:cs="Arial"/>
          <w:b w:val="0"/>
          <w:bCs w:val="0"/>
          <w:noProof/>
          <w:color w:val="auto"/>
          <w:sz w:val="24"/>
          <w:szCs w:val="24"/>
          <w:u w:val="none"/>
        </w:rPr>
        <w:t xml:space="preserve">  </w:t>
      </w:r>
      <w:hyperlink w:anchor="_Toc116923129" w:history="1">
        <w:r w:rsidR="00EB73CB" w:rsidRPr="00EB73CB">
          <w:rPr>
            <w:rStyle w:val="Hyperlink"/>
            <w:rFonts w:ascii="Arial" w:hAnsi="Arial" w:cs="Arial"/>
            <w:noProof/>
            <w:color w:val="auto"/>
            <w:sz w:val="24"/>
            <w:szCs w:val="24"/>
          </w:rPr>
          <w:t>2</w:t>
        </w:r>
        <w:r w:rsidR="00EB73CB" w:rsidRPr="00EB73CB">
          <w:rPr>
            <w:rFonts w:ascii="Arial" w:eastAsiaTheme="minorEastAsia" w:hAnsi="Arial" w:cs="Arial"/>
            <w:b w:val="0"/>
            <w:bCs w:val="0"/>
            <w:caps w:val="0"/>
            <w:noProof/>
            <w:sz w:val="24"/>
            <w:szCs w:val="24"/>
            <w:lang w:val="de-DE"/>
          </w:rPr>
          <w:tab/>
        </w:r>
        <w:r w:rsidR="00EB73CB" w:rsidRPr="00EB73CB">
          <w:rPr>
            <w:rStyle w:val="Hyperlink"/>
            <w:rFonts w:ascii="Arial" w:hAnsi="Arial" w:cs="Arial"/>
            <w:noProof/>
            <w:color w:val="auto"/>
            <w:sz w:val="24"/>
            <w:szCs w:val="24"/>
          </w:rPr>
          <w:t>DISPOSITION ÜBER ERTRÄGE / EINNAHMEN BZW AUFWENDUNGEN / AUSGABEN</w:t>
        </w:r>
        <w:r w:rsidR="00EB73CB" w:rsidRPr="00EB73CB">
          <w:rPr>
            <w:rFonts w:ascii="Arial" w:hAnsi="Arial" w:cs="Arial"/>
            <w:noProof/>
            <w:webHidden/>
            <w:sz w:val="24"/>
            <w:szCs w:val="24"/>
          </w:rPr>
          <w:tab/>
        </w:r>
        <w:r w:rsidR="00EB73CB" w:rsidRPr="00EB73CB">
          <w:rPr>
            <w:rFonts w:ascii="Arial" w:hAnsi="Arial" w:cs="Arial"/>
            <w:noProof/>
            <w:webHidden/>
            <w:sz w:val="24"/>
            <w:szCs w:val="24"/>
          </w:rPr>
          <w:fldChar w:fldCharType="begin"/>
        </w:r>
        <w:r w:rsidR="00EB73CB" w:rsidRPr="00EB73CB">
          <w:rPr>
            <w:rFonts w:ascii="Arial" w:hAnsi="Arial" w:cs="Arial"/>
            <w:noProof/>
            <w:webHidden/>
            <w:sz w:val="24"/>
            <w:szCs w:val="24"/>
          </w:rPr>
          <w:instrText xml:space="preserve"> PAGEREF _Toc116923129 \h </w:instrText>
        </w:r>
        <w:r w:rsidR="00EB73CB" w:rsidRPr="00EB73CB">
          <w:rPr>
            <w:rFonts w:ascii="Arial" w:hAnsi="Arial" w:cs="Arial"/>
            <w:noProof/>
            <w:webHidden/>
            <w:sz w:val="24"/>
            <w:szCs w:val="24"/>
          </w:rPr>
        </w:r>
        <w:r w:rsidR="00EB73CB" w:rsidRPr="00EB73CB">
          <w:rPr>
            <w:rFonts w:ascii="Arial" w:hAnsi="Arial" w:cs="Arial"/>
            <w:noProof/>
            <w:webHidden/>
            <w:sz w:val="24"/>
            <w:szCs w:val="24"/>
          </w:rPr>
          <w:fldChar w:fldCharType="separate"/>
        </w:r>
        <w:r w:rsidR="003A7CEA">
          <w:rPr>
            <w:rFonts w:ascii="Arial" w:hAnsi="Arial" w:cs="Arial"/>
            <w:noProof/>
            <w:webHidden/>
            <w:sz w:val="24"/>
            <w:szCs w:val="24"/>
          </w:rPr>
          <w:t>4</w:t>
        </w:r>
        <w:r w:rsidR="00EB73CB" w:rsidRPr="00EB73CB">
          <w:rPr>
            <w:rFonts w:ascii="Arial" w:hAnsi="Arial" w:cs="Arial"/>
            <w:noProof/>
            <w:webHidden/>
            <w:sz w:val="24"/>
            <w:szCs w:val="24"/>
          </w:rPr>
          <w:fldChar w:fldCharType="end"/>
        </w:r>
      </w:hyperlink>
    </w:p>
    <w:p w:rsidR="00EB73CB" w:rsidRPr="00EB73CB" w:rsidRDefault="006A08E6" w:rsidP="006A08E6">
      <w:pPr>
        <w:pStyle w:val="Verzeichnis1"/>
        <w:tabs>
          <w:tab w:val="left" w:pos="567"/>
          <w:tab w:val="right" w:leader="dot" w:pos="9204"/>
        </w:tabs>
        <w:spacing w:line="276" w:lineRule="auto"/>
        <w:ind w:left="426" w:hanging="426"/>
        <w:rPr>
          <w:rFonts w:ascii="Arial" w:eastAsiaTheme="minorEastAsia" w:hAnsi="Arial" w:cs="Arial"/>
          <w:b w:val="0"/>
          <w:bCs w:val="0"/>
          <w:caps w:val="0"/>
          <w:noProof/>
          <w:sz w:val="24"/>
          <w:szCs w:val="24"/>
          <w:lang w:val="de-DE"/>
        </w:rPr>
      </w:pPr>
      <w:r w:rsidRPr="006A08E6">
        <w:rPr>
          <w:rStyle w:val="Hyperlink"/>
          <w:rFonts w:ascii="Arial" w:hAnsi="Arial" w:cs="Arial"/>
          <w:b w:val="0"/>
          <w:bCs w:val="0"/>
          <w:noProof/>
          <w:color w:val="auto"/>
          <w:sz w:val="24"/>
          <w:szCs w:val="24"/>
          <w:u w:val="none"/>
        </w:rPr>
        <w:sym w:font="Wingdings" w:char="F070"/>
      </w:r>
      <w:r w:rsidRPr="006A08E6">
        <w:rPr>
          <w:rStyle w:val="Hyperlink"/>
          <w:rFonts w:ascii="Arial" w:hAnsi="Arial" w:cs="Arial"/>
          <w:b w:val="0"/>
          <w:bCs w:val="0"/>
          <w:noProof/>
          <w:color w:val="auto"/>
          <w:sz w:val="24"/>
          <w:szCs w:val="24"/>
          <w:u w:val="none"/>
        </w:rPr>
        <w:t xml:space="preserve">  </w:t>
      </w:r>
      <w:hyperlink w:anchor="_Toc116923130" w:history="1">
        <w:r w:rsidR="00EB73CB" w:rsidRPr="00EB73CB">
          <w:rPr>
            <w:rStyle w:val="Hyperlink"/>
            <w:rFonts w:ascii="Arial" w:hAnsi="Arial" w:cs="Arial"/>
            <w:noProof/>
            <w:color w:val="auto"/>
            <w:sz w:val="24"/>
            <w:szCs w:val="24"/>
          </w:rPr>
          <w:t>3</w:t>
        </w:r>
        <w:r w:rsidR="00EB73CB" w:rsidRPr="00EB73CB">
          <w:rPr>
            <w:rFonts w:ascii="Arial" w:eastAsiaTheme="minorEastAsia" w:hAnsi="Arial" w:cs="Arial"/>
            <w:b w:val="0"/>
            <w:bCs w:val="0"/>
            <w:caps w:val="0"/>
            <w:noProof/>
            <w:sz w:val="24"/>
            <w:szCs w:val="24"/>
            <w:lang w:val="de-DE"/>
          </w:rPr>
          <w:tab/>
        </w:r>
        <w:r w:rsidR="00EB73CB" w:rsidRPr="00EB73CB">
          <w:rPr>
            <w:rStyle w:val="Hyperlink"/>
            <w:rFonts w:ascii="Arial" w:hAnsi="Arial" w:cs="Arial"/>
            <w:noProof/>
            <w:color w:val="auto"/>
            <w:sz w:val="24"/>
            <w:szCs w:val="24"/>
          </w:rPr>
          <w:t>STEUEROPTIMALE VERLUSTVERWERTUNG</w:t>
        </w:r>
        <w:r w:rsidR="00EB73CB" w:rsidRPr="00EB73CB">
          <w:rPr>
            <w:rFonts w:ascii="Arial" w:hAnsi="Arial" w:cs="Arial"/>
            <w:noProof/>
            <w:webHidden/>
            <w:sz w:val="24"/>
            <w:szCs w:val="24"/>
          </w:rPr>
          <w:tab/>
        </w:r>
        <w:r w:rsidR="00EB73CB" w:rsidRPr="00EB73CB">
          <w:rPr>
            <w:rFonts w:ascii="Arial" w:hAnsi="Arial" w:cs="Arial"/>
            <w:noProof/>
            <w:webHidden/>
            <w:sz w:val="24"/>
            <w:szCs w:val="24"/>
          </w:rPr>
          <w:fldChar w:fldCharType="begin"/>
        </w:r>
        <w:r w:rsidR="00EB73CB" w:rsidRPr="00EB73CB">
          <w:rPr>
            <w:rFonts w:ascii="Arial" w:hAnsi="Arial" w:cs="Arial"/>
            <w:noProof/>
            <w:webHidden/>
            <w:sz w:val="24"/>
            <w:szCs w:val="24"/>
          </w:rPr>
          <w:instrText xml:space="preserve"> PAGEREF _Toc116923130 \h </w:instrText>
        </w:r>
        <w:r w:rsidR="00EB73CB" w:rsidRPr="00EB73CB">
          <w:rPr>
            <w:rFonts w:ascii="Arial" w:hAnsi="Arial" w:cs="Arial"/>
            <w:noProof/>
            <w:webHidden/>
            <w:sz w:val="24"/>
            <w:szCs w:val="24"/>
          </w:rPr>
        </w:r>
        <w:r w:rsidR="00EB73CB" w:rsidRPr="00EB73CB">
          <w:rPr>
            <w:rFonts w:ascii="Arial" w:hAnsi="Arial" w:cs="Arial"/>
            <w:noProof/>
            <w:webHidden/>
            <w:sz w:val="24"/>
            <w:szCs w:val="24"/>
          </w:rPr>
          <w:fldChar w:fldCharType="separate"/>
        </w:r>
        <w:r w:rsidR="003A7CEA">
          <w:rPr>
            <w:rFonts w:ascii="Arial" w:hAnsi="Arial" w:cs="Arial"/>
            <w:noProof/>
            <w:webHidden/>
            <w:sz w:val="24"/>
            <w:szCs w:val="24"/>
          </w:rPr>
          <w:t>4</w:t>
        </w:r>
        <w:r w:rsidR="00EB73CB" w:rsidRPr="00EB73CB">
          <w:rPr>
            <w:rFonts w:ascii="Arial" w:hAnsi="Arial" w:cs="Arial"/>
            <w:noProof/>
            <w:webHidden/>
            <w:sz w:val="24"/>
            <w:szCs w:val="24"/>
          </w:rPr>
          <w:fldChar w:fldCharType="end"/>
        </w:r>
      </w:hyperlink>
    </w:p>
    <w:p w:rsidR="00EB73CB" w:rsidRPr="00EB73CB" w:rsidRDefault="006A08E6" w:rsidP="00752662">
      <w:pPr>
        <w:pStyle w:val="Verzeichnis2"/>
        <w:rPr>
          <w:rFonts w:eastAsiaTheme="minorEastAsia"/>
          <w:lang w:val="de-DE"/>
        </w:rPr>
      </w:pPr>
      <w:r w:rsidRPr="006A08E6">
        <w:rPr>
          <w:rStyle w:val="Hyperlink"/>
          <w:color w:val="auto"/>
          <w:u w:val="none"/>
        </w:rPr>
        <w:sym w:font="Wingdings" w:char="F070"/>
      </w:r>
      <w:r w:rsidRPr="006A08E6">
        <w:rPr>
          <w:rStyle w:val="Hyperlink"/>
          <w:b/>
          <w:bCs/>
          <w:color w:val="auto"/>
          <w:u w:val="none"/>
        </w:rPr>
        <w:t xml:space="preserve">  </w:t>
      </w:r>
      <w:hyperlink w:anchor="_Toc116923131" w:history="1">
        <w:r w:rsidR="00EB73CB" w:rsidRPr="00EB73CB">
          <w:rPr>
            <w:rStyle w:val="Hyperlink"/>
            <w:color w:val="auto"/>
          </w:rPr>
          <w:t>3.1</w:t>
        </w:r>
        <w:r>
          <w:rPr>
            <w:rStyle w:val="Hyperlink"/>
            <w:color w:val="auto"/>
          </w:rPr>
          <w:t xml:space="preserve"> </w:t>
        </w:r>
        <w:r w:rsidR="00EB73CB" w:rsidRPr="00EB73CB">
          <w:rPr>
            <w:rStyle w:val="Hyperlink"/>
            <w:color w:val="auto"/>
          </w:rPr>
          <w:t>Verrechnung von Verlustvorträgen</w:t>
        </w:r>
        <w:r w:rsidR="00EB73CB" w:rsidRPr="00EB73CB">
          <w:rPr>
            <w:webHidden/>
          </w:rPr>
          <w:tab/>
        </w:r>
        <w:r w:rsidR="00EB73CB" w:rsidRPr="00EB73CB">
          <w:rPr>
            <w:webHidden/>
          </w:rPr>
          <w:fldChar w:fldCharType="begin"/>
        </w:r>
        <w:r w:rsidR="00EB73CB" w:rsidRPr="00EB73CB">
          <w:rPr>
            <w:webHidden/>
          </w:rPr>
          <w:instrText xml:space="preserve"> PAGEREF _Toc116923131 \h </w:instrText>
        </w:r>
        <w:r w:rsidR="00EB73CB" w:rsidRPr="00EB73CB">
          <w:rPr>
            <w:webHidden/>
          </w:rPr>
        </w:r>
        <w:r w:rsidR="00EB73CB" w:rsidRPr="00EB73CB">
          <w:rPr>
            <w:webHidden/>
          </w:rPr>
          <w:fldChar w:fldCharType="separate"/>
        </w:r>
        <w:r w:rsidR="003A7CEA">
          <w:rPr>
            <w:webHidden/>
          </w:rPr>
          <w:t>4</w:t>
        </w:r>
        <w:r w:rsidR="00EB73CB" w:rsidRPr="00EB73CB">
          <w:rPr>
            <w:webHidden/>
          </w:rPr>
          <w:fldChar w:fldCharType="end"/>
        </w:r>
      </w:hyperlink>
    </w:p>
    <w:p w:rsidR="00EB73CB" w:rsidRPr="00EB73CB" w:rsidRDefault="006A08E6" w:rsidP="00752662">
      <w:pPr>
        <w:pStyle w:val="Verzeichnis2"/>
        <w:rPr>
          <w:rFonts w:eastAsiaTheme="minorEastAsia"/>
          <w:lang w:val="de-DE"/>
        </w:rPr>
      </w:pPr>
      <w:r w:rsidRPr="006A08E6">
        <w:rPr>
          <w:rStyle w:val="Hyperlink"/>
          <w:color w:val="auto"/>
          <w:u w:val="none"/>
        </w:rPr>
        <w:sym w:font="Wingdings" w:char="F070"/>
      </w:r>
      <w:r w:rsidRPr="006A08E6">
        <w:rPr>
          <w:rStyle w:val="Hyperlink"/>
          <w:b/>
          <w:bCs/>
          <w:color w:val="auto"/>
          <w:u w:val="none"/>
        </w:rPr>
        <w:t xml:space="preserve">  </w:t>
      </w:r>
      <w:hyperlink w:anchor="_Toc116923132" w:history="1">
        <w:r w:rsidR="00EB73CB" w:rsidRPr="00EB73CB">
          <w:rPr>
            <w:rStyle w:val="Hyperlink"/>
            <w:color w:val="auto"/>
          </w:rPr>
          <w:t>3.2</w:t>
        </w:r>
        <w:r>
          <w:rPr>
            <w:rStyle w:val="Hyperlink"/>
            <w:color w:val="auto"/>
          </w:rPr>
          <w:t xml:space="preserve"> </w:t>
        </w:r>
        <w:r w:rsidR="00EB73CB" w:rsidRPr="00EB73CB">
          <w:rPr>
            <w:rStyle w:val="Hyperlink"/>
            <w:color w:val="auto"/>
          </w:rPr>
          <w:t>Verlustverwertung bei Kapitalgesellschaften durch Gruppenbesteuerung</w:t>
        </w:r>
        <w:r w:rsidR="00EB73CB" w:rsidRPr="00EB73CB">
          <w:rPr>
            <w:webHidden/>
          </w:rPr>
          <w:tab/>
        </w:r>
        <w:r w:rsidR="00EB73CB" w:rsidRPr="00EB73CB">
          <w:rPr>
            <w:webHidden/>
          </w:rPr>
          <w:fldChar w:fldCharType="begin"/>
        </w:r>
        <w:r w:rsidR="00EB73CB" w:rsidRPr="00EB73CB">
          <w:rPr>
            <w:webHidden/>
          </w:rPr>
          <w:instrText xml:space="preserve"> PAGEREF _Toc116923132 \h </w:instrText>
        </w:r>
        <w:r w:rsidR="00EB73CB" w:rsidRPr="00EB73CB">
          <w:rPr>
            <w:webHidden/>
          </w:rPr>
        </w:r>
        <w:r w:rsidR="00EB73CB" w:rsidRPr="00EB73CB">
          <w:rPr>
            <w:webHidden/>
          </w:rPr>
          <w:fldChar w:fldCharType="separate"/>
        </w:r>
        <w:r w:rsidR="003A7CEA">
          <w:rPr>
            <w:webHidden/>
          </w:rPr>
          <w:t>5</w:t>
        </w:r>
        <w:r w:rsidR="00EB73CB" w:rsidRPr="00EB73CB">
          <w:rPr>
            <w:webHidden/>
          </w:rPr>
          <w:fldChar w:fldCharType="end"/>
        </w:r>
      </w:hyperlink>
    </w:p>
    <w:p w:rsidR="00EB73CB" w:rsidRPr="00EB73CB" w:rsidRDefault="006A08E6" w:rsidP="00752662">
      <w:pPr>
        <w:pStyle w:val="Verzeichnis2"/>
        <w:rPr>
          <w:rFonts w:eastAsiaTheme="minorEastAsia"/>
          <w:lang w:val="de-DE"/>
        </w:rPr>
      </w:pPr>
      <w:r w:rsidRPr="006A08E6">
        <w:rPr>
          <w:rStyle w:val="Hyperlink"/>
          <w:color w:val="auto"/>
          <w:u w:val="none"/>
        </w:rPr>
        <w:sym w:font="Wingdings" w:char="F070"/>
      </w:r>
      <w:r w:rsidRPr="006A08E6">
        <w:rPr>
          <w:rStyle w:val="Hyperlink"/>
          <w:b/>
          <w:bCs/>
          <w:color w:val="auto"/>
          <w:u w:val="none"/>
        </w:rPr>
        <w:t xml:space="preserve">  </w:t>
      </w:r>
      <w:hyperlink w:anchor="_Toc116923133" w:history="1">
        <w:r w:rsidR="00EB73CB" w:rsidRPr="00EB73CB">
          <w:rPr>
            <w:rStyle w:val="Hyperlink"/>
            <w:color w:val="auto"/>
          </w:rPr>
          <w:t>3.3</w:t>
        </w:r>
        <w:r>
          <w:rPr>
            <w:rStyle w:val="Hyperlink"/>
            <w:color w:val="auto"/>
          </w:rPr>
          <w:t xml:space="preserve"> </w:t>
        </w:r>
        <w:r w:rsidR="00EB73CB" w:rsidRPr="00EB73CB">
          <w:rPr>
            <w:rStyle w:val="Hyperlink"/>
            <w:color w:val="auto"/>
          </w:rPr>
          <w:t>Verluste bei kapitalistischen Mitunternehmern nur vortragsfähig</w:t>
        </w:r>
        <w:r w:rsidR="00EB73CB" w:rsidRPr="00EB73CB">
          <w:rPr>
            <w:webHidden/>
          </w:rPr>
          <w:tab/>
        </w:r>
        <w:r w:rsidR="00EB73CB" w:rsidRPr="00EB73CB">
          <w:rPr>
            <w:webHidden/>
          </w:rPr>
          <w:fldChar w:fldCharType="begin"/>
        </w:r>
        <w:r w:rsidR="00EB73CB" w:rsidRPr="00EB73CB">
          <w:rPr>
            <w:webHidden/>
          </w:rPr>
          <w:instrText xml:space="preserve"> PAGEREF _Toc116923133 \h </w:instrText>
        </w:r>
        <w:r w:rsidR="00EB73CB" w:rsidRPr="00EB73CB">
          <w:rPr>
            <w:webHidden/>
          </w:rPr>
        </w:r>
        <w:r w:rsidR="00EB73CB" w:rsidRPr="00EB73CB">
          <w:rPr>
            <w:webHidden/>
          </w:rPr>
          <w:fldChar w:fldCharType="separate"/>
        </w:r>
        <w:r w:rsidR="003A7CEA">
          <w:rPr>
            <w:webHidden/>
          </w:rPr>
          <w:t>5</w:t>
        </w:r>
        <w:r w:rsidR="00EB73CB" w:rsidRPr="00EB73CB">
          <w:rPr>
            <w:webHidden/>
          </w:rPr>
          <w:fldChar w:fldCharType="end"/>
        </w:r>
      </w:hyperlink>
    </w:p>
    <w:p w:rsidR="00EB73CB" w:rsidRPr="00EB73CB" w:rsidRDefault="006A08E6" w:rsidP="006A08E6">
      <w:pPr>
        <w:pStyle w:val="Verzeichnis1"/>
        <w:tabs>
          <w:tab w:val="left" w:pos="567"/>
          <w:tab w:val="right" w:leader="dot" w:pos="9204"/>
        </w:tabs>
        <w:spacing w:line="276" w:lineRule="auto"/>
        <w:ind w:left="426" w:hanging="426"/>
        <w:rPr>
          <w:rFonts w:ascii="Arial" w:eastAsiaTheme="minorEastAsia" w:hAnsi="Arial" w:cs="Arial"/>
          <w:b w:val="0"/>
          <w:bCs w:val="0"/>
          <w:caps w:val="0"/>
          <w:noProof/>
          <w:sz w:val="24"/>
          <w:szCs w:val="24"/>
          <w:lang w:val="de-DE"/>
        </w:rPr>
      </w:pPr>
      <w:r w:rsidRPr="006A08E6">
        <w:rPr>
          <w:rStyle w:val="Hyperlink"/>
          <w:rFonts w:ascii="Arial" w:hAnsi="Arial" w:cs="Arial"/>
          <w:b w:val="0"/>
          <w:bCs w:val="0"/>
          <w:noProof/>
          <w:color w:val="auto"/>
          <w:sz w:val="24"/>
          <w:szCs w:val="24"/>
          <w:u w:val="none"/>
        </w:rPr>
        <w:sym w:font="Wingdings" w:char="F070"/>
      </w:r>
      <w:r w:rsidRPr="006A08E6">
        <w:rPr>
          <w:rStyle w:val="Hyperlink"/>
          <w:rFonts w:ascii="Arial" w:hAnsi="Arial" w:cs="Arial"/>
          <w:b w:val="0"/>
          <w:bCs w:val="0"/>
          <w:noProof/>
          <w:color w:val="auto"/>
          <w:sz w:val="24"/>
          <w:szCs w:val="24"/>
          <w:u w:val="none"/>
        </w:rPr>
        <w:t xml:space="preserve">  </w:t>
      </w:r>
      <w:hyperlink w:anchor="_Toc116923134" w:history="1">
        <w:r w:rsidR="00EB73CB" w:rsidRPr="00EB73CB">
          <w:rPr>
            <w:rStyle w:val="Hyperlink"/>
            <w:rFonts w:ascii="Arial" w:hAnsi="Arial" w:cs="Arial"/>
            <w:noProof/>
            <w:color w:val="auto"/>
            <w:sz w:val="24"/>
            <w:szCs w:val="24"/>
          </w:rPr>
          <w:t>4</w:t>
        </w:r>
        <w:r w:rsidR="00EB73CB" w:rsidRPr="00EB73CB">
          <w:rPr>
            <w:rFonts w:ascii="Arial" w:eastAsiaTheme="minorEastAsia" w:hAnsi="Arial" w:cs="Arial"/>
            <w:b w:val="0"/>
            <w:bCs w:val="0"/>
            <w:caps w:val="0"/>
            <w:noProof/>
            <w:sz w:val="24"/>
            <w:szCs w:val="24"/>
            <w:lang w:val="de-DE"/>
          </w:rPr>
          <w:tab/>
        </w:r>
        <w:r w:rsidR="00EB73CB" w:rsidRPr="00EB73CB">
          <w:rPr>
            <w:rStyle w:val="Hyperlink"/>
            <w:rFonts w:ascii="Arial" w:hAnsi="Arial" w:cs="Arial"/>
            <w:noProof/>
            <w:color w:val="auto"/>
            <w:sz w:val="24"/>
            <w:szCs w:val="24"/>
          </w:rPr>
          <w:t>GEWINNFREIBETRAG / INVESTITIONSFREIBETRAG</w:t>
        </w:r>
        <w:r w:rsidR="00EB73CB" w:rsidRPr="00EB73CB">
          <w:rPr>
            <w:rFonts w:ascii="Arial" w:hAnsi="Arial" w:cs="Arial"/>
            <w:noProof/>
            <w:webHidden/>
            <w:sz w:val="24"/>
            <w:szCs w:val="24"/>
          </w:rPr>
          <w:tab/>
        </w:r>
        <w:r w:rsidR="00EB73CB" w:rsidRPr="00EB73CB">
          <w:rPr>
            <w:rFonts w:ascii="Arial" w:hAnsi="Arial" w:cs="Arial"/>
            <w:noProof/>
            <w:webHidden/>
            <w:sz w:val="24"/>
            <w:szCs w:val="24"/>
          </w:rPr>
          <w:fldChar w:fldCharType="begin"/>
        </w:r>
        <w:r w:rsidR="00EB73CB" w:rsidRPr="00EB73CB">
          <w:rPr>
            <w:rFonts w:ascii="Arial" w:hAnsi="Arial" w:cs="Arial"/>
            <w:noProof/>
            <w:webHidden/>
            <w:sz w:val="24"/>
            <w:szCs w:val="24"/>
          </w:rPr>
          <w:instrText xml:space="preserve"> PAGEREF _Toc116923134 \h </w:instrText>
        </w:r>
        <w:r w:rsidR="00EB73CB" w:rsidRPr="00EB73CB">
          <w:rPr>
            <w:rFonts w:ascii="Arial" w:hAnsi="Arial" w:cs="Arial"/>
            <w:noProof/>
            <w:webHidden/>
            <w:sz w:val="24"/>
            <w:szCs w:val="24"/>
          </w:rPr>
        </w:r>
        <w:r w:rsidR="00EB73CB" w:rsidRPr="00EB73CB">
          <w:rPr>
            <w:rFonts w:ascii="Arial" w:hAnsi="Arial" w:cs="Arial"/>
            <w:noProof/>
            <w:webHidden/>
            <w:sz w:val="24"/>
            <w:szCs w:val="24"/>
          </w:rPr>
          <w:fldChar w:fldCharType="separate"/>
        </w:r>
        <w:r w:rsidR="003A7CEA">
          <w:rPr>
            <w:rFonts w:ascii="Arial" w:hAnsi="Arial" w:cs="Arial"/>
            <w:noProof/>
            <w:webHidden/>
            <w:sz w:val="24"/>
            <w:szCs w:val="24"/>
          </w:rPr>
          <w:t>5</w:t>
        </w:r>
        <w:r w:rsidR="00EB73CB" w:rsidRPr="00EB73CB">
          <w:rPr>
            <w:rFonts w:ascii="Arial" w:hAnsi="Arial" w:cs="Arial"/>
            <w:noProof/>
            <w:webHidden/>
            <w:sz w:val="24"/>
            <w:szCs w:val="24"/>
          </w:rPr>
          <w:fldChar w:fldCharType="end"/>
        </w:r>
      </w:hyperlink>
    </w:p>
    <w:p w:rsidR="00EB73CB" w:rsidRPr="00EB73CB" w:rsidRDefault="006A08E6" w:rsidP="00752662">
      <w:pPr>
        <w:pStyle w:val="Verzeichnis2"/>
        <w:rPr>
          <w:rFonts w:eastAsiaTheme="minorEastAsia"/>
          <w:lang w:val="de-DE"/>
        </w:rPr>
      </w:pPr>
      <w:r w:rsidRPr="006A08E6">
        <w:rPr>
          <w:rStyle w:val="Hyperlink"/>
          <w:b/>
          <w:bCs/>
          <w:color w:val="auto"/>
          <w:u w:val="none"/>
        </w:rPr>
        <w:sym w:font="Wingdings" w:char="F070"/>
      </w:r>
      <w:r w:rsidRPr="006A08E6">
        <w:rPr>
          <w:rStyle w:val="Hyperlink"/>
          <w:b/>
          <w:bCs/>
          <w:color w:val="auto"/>
          <w:u w:val="none"/>
        </w:rPr>
        <w:t xml:space="preserve">  </w:t>
      </w:r>
      <w:hyperlink w:anchor="_Toc116923135" w:history="1">
        <w:r w:rsidR="00EB73CB" w:rsidRPr="00EB73CB">
          <w:rPr>
            <w:rStyle w:val="Hyperlink"/>
            <w:color w:val="auto"/>
          </w:rPr>
          <w:t>4.1</w:t>
        </w:r>
        <w:r>
          <w:rPr>
            <w:rStyle w:val="Hyperlink"/>
            <w:color w:val="auto"/>
          </w:rPr>
          <w:t xml:space="preserve"> </w:t>
        </w:r>
        <w:r w:rsidR="00EB73CB" w:rsidRPr="00EB73CB">
          <w:rPr>
            <w:rStyle w:val="Hyperlink"/>
            <w:color w:val="auto"/>
          </w:rPr>
          <w:t>Gewinnfreibetrag</w:t>
        </w:r>
        <w:r w:rsidR="00EB73CB" w:rsidRPr="00EB73CB">
          <w:rPr>
            <w:webHidden/>
          </w:rPr>
          <w:tab/>
        </w:r>
        <w:r w:rsidR="00EB73CB" w:rsidRPr="00EB73CB">
          <w:rPr>
            <w:webHidden/>
          </w:rPr>
          <w:fldChar w:fldCharType="begin"/>
        </w:r>
        <w:r w:rsidR="00EB73CB" w:rsidRPr="00EB73CB">
          <w:rPr>
            <w:webHidden/>
          </w:rPr>
          <w:instrText xml:space="preserve"> PAGEREF _Toc116923135 \h </w:instrText>
        </w:r>
        <w:r w:rsidR="00EB73CB" w:rsidRPr="00EB73CB">
          <w:rPr>
            <w:webHidden/>
          </w:rPr>
        </w:r>
        <w:r w:rsidR="00EB73CB" w:rsidRPr="00EB73CB">
          <w:rPr>
            <w:webHidden/>
          </w:rPr>
          <w:fldChar w:fldCharType="separate"/>
        </w:r>
        <w:r w:rsidR="003A7CEA">
          <w:rPr>
            <w:webHidden/>
          </w:rPr>
          <w:t>5</w:t>
        </w:r>
        <w:r w:rsidR="00EB73CB" w:rsidRPr="00EB73CB">
          <w:rPr>
            <w:webHidden/>
          </w:rPr>
          <w:fldChar w:fldCharType="end"/>
        </w:r>
      </w:hyperlink>
    </w:p>
    <w:p w:rsidR="00EB73CB" w:rsidRPr="00EB73CB" w:rsidRDefault="006A08E6" w:rsidP="00752662">
      <w:pPr>
        <w:pStyle w:val="Verzeichnis2"/>
        <w:rPr>
          <w:rFonts w:eastAsiaTheme="minorEastAsia"/>
          <w:lang w:val="de-DE"/>
        </w:rPr>
      </w:pPr>
      <w:r w:rsidRPr="006A08E6">
        <w:rPr>
          <w:rStyle w:val="Hyperlink"/>
          <w:color w:val="auto"/>
          <w:u w:val="none"/>
        </w:rPr>
        <w:sym w:font="Wingdings" w:char="F070"/>
      </w:r>
      <w:r w:rsidRPr="006A08E6">
        <w:rPr>
          <w:rStyle w:val="Hyperlink"/>
          <w:b/>
          <w:bCs/>
          <w:color w:val="auto"/>
          <w:u w:val="none"/>
        </w:rPr>
        <w:t xml:space="preserve">  </w:t>
      </w:r>
      <w:hyperlink w:anchor="_Toc116923136" w:history="1">
        <w:r w:rsidR="00EB73CB" w:rsidRPr="00EB73CB">
          <w:rPr>
            <w:rStyle w:val="Hyperlink"/>
            <w:color w:val="auto"/>
          </w:rPr>
          <w:t>4.2 Investitionsfreibetrag</w:t>
        </w:r>
        <w:r w:rsidR="00EB73CB" w:rsidRPr="00EB73CB">
          <w:rPr>
            <w:webHidden/>
          </w:rPr>
          <w:tab/>
        </w:r>
        <w:r w:rsidR="00EB73CB" w:rsidRPr="00EB73CB">
          <w:rPr>
            <w:webHidden/>
          </w:rPr>
          <w:fldChar w:fldCharType="begin"/>
        </w:r>
        <w:r w:rsidR="00EB73CB" w:rsidRPr="00EB73CB">
          <w:rPr>
            <w:webHidden/>
          </w:rPr>
          <w:instrText xml:space="preserve"> PAGEREF _Toc116923136 \h </w:instrText>
        </w:r>
        <w:r w:rsidR="00EB73CB" w:rsidRPr="00EB73CB">
          <w:rPr>
            <w:webHidden/>
          </w:rPr>
        </w:r>
        <w:r w:rsidR="00EB73CB" w:rsidRPr="00EB73CB">
          <w:rPr>
            <w:webHidden/>
          </w:rPr>
          <w:fldChar w:fldCharType="separate"/>
        </w:r>
        <w:r w:rsidR="003A7CEA">
          <w:rPr>
            <w:webHidden/>
          </w:rPr>
          <w:t>6</w:t>
        </w:r>
        <w:r w:rsidR="00EB73CB" w:rsidRPr="00EB73CB">
          <w:rPr>
            <w:webHidden/>
          </w:rPr>
          <w:fldChar w:fldCharType="end"/>
        </w:r>
      </w:hyperlink>
    </w:p>
    <w:p w:rsidR="00EB73CB" w:rsidRPr="00EB73CB" w:rsidRDefault="006A08E6" w:rsidP="006A08E6">
      <w:pPr>
        <w:pStyle w:val="Verzeichnis1"/>
        <w:tabs>
          <w:tab w:val="left" w:pos="567"/>
          <w:tab w:val="right" w:leader="dot" w:pos="9204"/>
        </w:tabs>
        <w:spacing w:line="276" w:lineRule="auto"/>
        <w:ind w:left="426" w:hanging="426"/>
        <w:rPr>
          <w:rFonts w:ascii="Arial" w:eastAsiaTheme="minorEastAsia" w:hAnsi="Arial" w:cs="Arial"/>
          <w:b w:val="0"/>
          <w:bCs w:val="0"/>
          <w:caps w:val="0"/>
          <w:noProof/>
          <w:sz w:val="24"/>
          <w:szCs w:val="24"/>
          <w:lang w:val="de-DE"/>
        </w:rPr>
      </w:pPr>
      <w:r w:rsidRPr="006A08E6">
        <w:rPr>
          <w:rStyle w:val="Hyperlink"/>
          <w:rFonts w:ascii="Arial" w:hAnsi="Arial" w:cs="Arial"/>
          <w:b w:val="0"/>
          <w:bCs w:val="0"/>
          <w:noProof/>
          <w:color w:val="auto"/>
          <w:sz w:val="24"/>
          <w:szCs w:val="24"/>
          <w:u w:val="none"/>
        </w:rPr>
        <w:sym w:font="Wingdings" w:char="F070"/>
      </w:r>
      <w:r w:rsidRPr="006A08E6">
        <w:rPr>
          <w:rStyle w:val="Hyperlink"/>
          <w:rFonts w:ascii="Arial" w:hAnsi="Arial" w:cs="Arial"/>
          <w:b w:val="0"/>
          <w:bCs w:val="0"/>
          <w:noProof/>
          <w:color w:val="auto"/>
          <w:sz w:val="24"/>
          <w:szCs w:val="24"/>
          <w:u w:val="none"/>
        </w:rPr>
        <w:t xml:space="preserve">  </w:t>
      </w:r>
      <w:hyperlink w:anchor="_Toc116923137" w:history="1">
        <w:r w:rsidR="00EB73CB" w:rsidRPr="00EB73CB">
          <w:rPr>
            <w:rStyle w:val="Hyperlink"/>
            <w:rFonts w:ascii="Arial" w:hAnsi="Arial" w:cs="Arial"/>
            <w:noProof/>
            <w:color w:val="auto"/>
            <w:sz w:val="24"/>
            <w:szCs w:val="24"/>
          </w:rPr>
          <w:t>5</w:t>
        </w:r>
        <w:r w:rsidR="00EB73CB" w:rsidRPr="00EB73CB">
          <w:rPr>
            <w:rFonts w:ascii="Arial" w:eastAsiaTheme="minorEastAsia" w:hAnsi="Arial" w:cs="Arial"/>
            <w:b w:val="0"/>
            <w:bCs w:val="0"/>
            <w:caps w:val="0"/>
            <w:noProof/>
            <w:sz w:val="24"/>
            <w:szCs w:val="24"/>
            <w:lang w:val="de-DE"/>
          </w:rPr>
          <w:tab/>
        </w:r>
        <w:r w:rsidR="00EB73CB" w:rsidRPr="00EB73CB">
          <w:rPr>
            <w:rStyle w:val="Hyperlink"/>
            <w:rFonts w:ascii="Arial" w:hAnsi="Arial" w:cs="Arial"/>
            <w:noProof/>
            <w:color w:val="auto"/>
            <w:sz w:val="24"/>
            <w:szCs w:val="24"/>
          </w:rPr>
          <w:t>WAS SIE BEI DER STEUERPLANUNG FÜR 2022 BEACHTEN SOLLTEN</w:t>
        </w:r>
        <w:r w:rsidR="00EB73CB" w:rsidRPr="00EB73CB">
          <w:rPr>
            <w:rFonts w:ascii="Arial" w:hAnsi="Arial" w:cs="Arial"/>
            <w:noProof/>
            <w:webHidden/>
            <w:sz w:val="24"/>
            <w:szCs w:val="24"/>
          </w:rPr>
          <w:tab/>
        </w:r>
        <w:r w:rsidR="00EB73CB" w:rsidRPr="00EB73CB">
          <w:rPr>
            <w:rFonts w:ascii="Arial" w:hAnsi="Arial" w:cs="Arial"/>
            <w:noProof/>
            <w:webHidden/>
            <w:sz w:val="24"/>
            <w:szCs w:val="24"/>
          </w:rPr>
          <w:fldChar w:fldCharType="begin"/>
        </w:r>
        <w:r w:rsidR="00EB73CB" w:rsidRPr="00EB73CB">
          <w:rPr>
            <w:rFonts w:ascii="Arial" w:hAnsi="Arial" w:cs="Arial"/>
            <w:noProof/>
            <w:webHidden/>
            <w:sz w:val="24"/>
            <w:szCs w:val="24"/>
          </w:rPr>
          <w:instrText xml:space="preserve"> PAGEREF _Toc116923137 \h </w:instrText>
        </w:r>
        <w:r w:rsidR="00EB73CB" w:rsidRPr="00EB73CB">
          <w:rPr>
            <w:rFonts w:ascii="Arial" w:hAnsi="Arial" w:cs="Arial"/>
            <w:noProof/>
            <w:webHidden/>
            <w:sz w:val="24"/>
            <w:szCs w:val="24"/>
          </w:rPr>
        </w:r>
        <w:r w:rsidR="00EB73CB" w:rsidRPr="00EB73CB">
          <w:rPr>
            <w:rFonts w:ascii="Arial" w:hAnsi="Arial" w:cs="Arial"/>
            <w:noProof/>
            <w:webHidden/>
            <w:sz w:val="24"/>
            <w:szCs w:val="24"/>
          </w:rPr>
          <w:fldChar w:fldCharType="separate"/>
        </w:r>
        <w:r w:rsidR="003A7CEA">
          <w:rPr>
            <w:rFonts w:ascii="Arial" w:hAnsi="Arial" w:cs="Arial"/>
            <w:noProof/>
            <w:webHidden/>
            <w:sz w:val="24"/>
            <w:szCs w:val="24"/>
          </w:rPr>
          <w:t>7</w:t>
        </w:r>
        <w:r w:rsidR="00EB73CB" w:rsidRPr="00EB73CB">
          <w:rPr>
            <w:rFonts w:ascii="Arial" w:hAnsi="Arial" w:cs="Arial"/>
            <w:noProof/>
            <w:webHidden/>
            <w:sz w:val="24"/>
            <w:szCs w:val="24"/>
          </w:rPr>
          <w:fldChar w:fldCharType="end"/>
        </w:r>
      </w:hyperlink>
    </w:p>
    <w:p w:rsidR="00EB73CB" w:rsidRPr="00EB73CB" w:rsidRDefault="006A08E6" w:rsidP="006A08E6">
      <w:pPr>
        <w:pStyle w:val="Verzeichnis1"/>
        <w:tabs>
          <w:tab w:val="left" w:pos="567"/>
          <w:tab w:val="right" w:leader="dot" w:pos="9204"/>
        </w:tabs>
        <w:spacing w:line="276" w:lineRule="auto"/>
        <w:ind w:left="426" w:hanging="426"/>
        <w:rPr>
          <w:rFonts w:ascii="Arial" w:eastAsiaTheme="minorEastAsia" w:hAnsi="Arial" w:cs="Arial"/>
          <w:b w:val="0"/>
          <w:bCs w:val="0"/>
          <w:caps w:val="0"/>
          <w:noProof/>
          <w:sz w:val="24"/>
          <w:szCs w:val="24"/>
          <w:lang w:val="de-DE"/>
        </w:rPr>
      </w:pPr>
      <w:r w:rsidRPr="006A08E6">
        <w:rPr>
          <w:rStyle w:val="Hyperlink"/>
          <w:rFonts w:ascii="Arial" w:hAnsi="Arial" w:cs="Arial"/>
          <w:b w:val="0"/>
          <w:bCs w:val="0"/>
          <w:noProof/>
          <w:color w:val="auto"/>
          <w:sz w:val="24"/>
          <w:szCs w:val="24"/>
          <w:u w:val="none"/>
        </w:rPr>
        <w:sym w:font="Wingdings" w:char="F070"/>
      </w:r>
      <w:r w:rsidRPr="006A08E6">
        <w:rPr>
          <w:rStyle w:val="Hyperlink"/>
          <w:rFonts w:ascii="Arial" w:hAnsi="Arial" w:cs="Arial"/>
          <w:b w:val="0"/>
          <w:bCs w:val="0"/>
          <w:noProof/>
          <w:color w:val="auto"/>
          <w:sz w:val="24"/>
          <w:szCs w:val="24"/>
          <w:u w:val="none"/>
        </w:rPr>
        <w:t xml:space="preserve">  </w:t>
      </w:r>
      <w:hyperlink w:anchor="_Toc116923138" w:history="1">
        <w:r w:rsidR="00EB73CB" w:rsidRPr="00EB73CB">
          <w:rPr>
            <w:rStyle w:val="Hyperlink"/>
            <w:rFonts w:ascii="Arial" w:hAnsi="Arial" w:cs="Arial"/>
            <w:noProof/>
            <w:color w:val="auto"/>
            <w:sz w:val="24"/>
            <w:szCs w:val="24"/>
          </w:rPr>
          <w:t>6</w:t>
        </w:r>
        <w:r w:rsidRPr="006A08E6">
          <w:rPr>
            <w:rStyle w:val="Hyperlink"/>
            <w:rFonts w:ascii="Arial" w:hAnsi="Arial" w:cs="Arial"/>
            <w:b w:val="0"/>
            <w:bCs w:val="0"/>
            <w:noProof/>
            <w:color w:val="auto"/>
            <w:sz w:val="24"/>
            <w:szCs w:val="24"/>
            <w:u w:val="none"/>
          </w:rPr>
          <w:t xml:space="preserve"> </w:t>
        </w:r>
        <w:r w:rsidR="00EB73CB" w:rsidRPr="00EB73CB">
          <w:rPr>
            <w:rFonts w:ascii="Arial" w:eastAsiaTheme="minorEastAsia" w:hAnsi="Arial" w:cs="Arial"/>
            <w:b w:val="0"/>
            <w:bCs w:val="0"/>
            <w:caps w:val="0"/>
            <w:noProof/>
            <w:sz w:val="24"/>
            <w:szCs w:val="24"/>
            <w:lang w:val="de-DE"/>
          </w:rPr>
          <w:tab/>
        </w:r>
        <w:r w:rsidR="00EB73CB" w:rsidRPr="00EB73CB">
          <w:rPr>
            <w:rStyle w:val="Hyperlink"/>
            <w:rFonts w:ascii="Arial" w:hAnsi="Arial" w:cs="Arial"/>
            <w:noProof/>
            <w:color w:val="auto"/>
            <w:sz w:val="24"/>
            <w:szCs w:val="24"/>
          </w:rPr>
          <w:t>SPENDEN AUS DEM BETRIEBSVERMÖGEN</w:t>
        </w:r>
        <w:r w:rsidR="00EB73CB" w:rsidRPr="00EB73CB">
          <w:rPr>
            <w:rFonts w:ascii="Arial" w:hAnsi="Arial" w:cs="Arial"/>
            <w:noProof/>
            <w:webHidden/>
            <w:sz w:val="24"/>
            <w:szCs w:val="24"/>
          </w:rPr>
          <w:tab/>
        </w:r>
        <w:r w:rsidR="00EB73CB" w:rsidRPr="00EB73CB">
          <w:rPr>
            <w:rFonts w:ascii="Arial" w:hAnsi="Arial" w:cs="Arial"/>
            <w:noProof/>
            <w:webHidden/>
            <w:sz w:val="24"/>
            <w:szCs w:val="24"/>
          </w:rPr>
          <w:fldChar w:fldCharType="begin"/>
        </w:r>
        <w:r w:rsidR="00EB73CB" w:rsidRPr="00EB73CB">
          <w:rPr>
            <w:rFonts w:ascii="Arial" w:hAnsi="Arial" w:cs="Arial"/>
            <w:noProof/>
            <w:webHidden/>
            <w:sz w:val="24"/>
            <w:szCs w:val="24"/>
          </w:rPr>
          <w:instrText xml:space="preserve"> PAGEREF _Toc116923138 \h </w:instrText>
        </w:r>
        <w:r w:rsidR="00EB73CB" w:rsidRPr="00EB73CB">
          <w:rPr>
            <w:rFonts w:ascii="Arial" w:hAnsi="Arial" w:cs="Arial"/>
            <w:noProof/>
            <w:webHidden/>
            <w:sz w:val="24"/>
            <w:szCs w:val="24"/>
          </w:rPr>
        </w:r>
        <w:r w:rsidR="00EB73CB" w:rsidRPr="00EB73CB">
          <w:rPr>
            <w:rFonts w:ascii="Arial" w:hAnsi="Arial" w:cs="Arial"/>
            <w:noProof/>
            <w:webHidden/>
            <w:sz w:val="24"/>
            <w:szCs w:val="24"/>
          </w:rPr>
          <w:fldChar w:fldCharType="separate"/>
        </w:r>
        <w:r w:rsidR="003A7CEA">
          <w:rPr>
            <w:rFonts w:ascii="Arial" w:hAnsi="Arial" w:cs="Arial"/>
            <w:noProof/>
            <w:webHidden/>
            <w:sz w:val="24"/>
            <w:szCs w:val="24"/>
          </w:rPr>
          <w:t>7</w:t>
        </w:r>
        <w:r w:rsidR="00EB73CB" w:rsidRPr="00EB73CB">
          <w:rPr>
            <w:rFonts w:ascii="Arial" w:hAnsi="Arial" w:cs="Arial"/>
            <w:noProof/>
            <w:webHidden/>
            <w:sz w:val="24"/>
            <w:szCs w:val="24"/>
          </w:rPr>
          <w:fldChar w:fldCharType="end"/>
        </w:r>
      </w:hyperlink>
    </w:p>
    <w:p w:rsidR="00EB73CB" w:rsidRPr="00EB73CB" w:rsidRDefault="006A08E6" w:rsidP="006A08E6">
      <w:pPr>
        <w:pStyle w:val="Verzeichnis1"/>
        <w:tabs>
          <w:tab w:val="left" w:pos="567"/>
          <w:tab w:val="right" w:leader="dot" w:pos="9204"/>
        </w:tabs>
        <w:spacing w:line="276" w:lineRule="auto"/>
        <w:ind w:left="426" w:hanging="426"/>
        <w:rPr>
          <w:rFonts w:ascii="Arial" w:eastAsiaTheme="minorEastAsia" w:hAnsi="Arial" w:cs="Arial"/>
          <w:b w:val="0"/>
          <w:bCs w:val="0"/>
          <w:caps w:val="0"/>
          <w:noProof/>
          <w:sz w:val="24"/>
          <w:szCs w:val="24"/>
          <w:lang w:val="de-DE"/>
        </w:rPr>
      </w:pPr>
      <w:r w:rsidRPr="006A08E6">
        <w:rPr>
          <w:rStyle w:val="Hyperlink"/>
          <w:rFonts w:ascii="Arial" w:hAnsi="Arial" w:cs="Arial"/>
          <w:b w:val="0"/>
          <w:bCs w:val="0"/>
          <w:noProof/>
          <w:color w:val="auto"/>
          <w:sz w:val="24"/>
          <w:szCs w:val="24"/>
          <w:u w:val="none"/>
        </w:rPr>
        <w:sym w:font="Wingdings" w:char="F070"/>
      </w:r>
      <w:r w:rsidRPr="006A08E6">
        <w:rPr>
          <w:rStyle w:val="Hyperlink"/>
          <w:rFonts w:ascii="Arial" w:hAnsi="Arial" w:cs="Arial"/>
          <w:b w:val="0"/>
          <w:bCs w:val="0"/>
          <w:noProof/>
          <w:color w:val="auto"/>
          <w:sz w:val="24"/>
          <w:szCs w:val="24"/>
          <w:u w:val="none"/>
        </w:rPr>
        <w:t xml:space="preserve">  </w:t>
      </w:r>
      <w:hyperlink w:anchor="_Toc116923139" w:history="1">
        <w:r w:rsidR="00EB73CB" w:rsidRPr="00EB73CB">
          <w:rPr>
            <w:rStyle w:val="Hyperlink"/>
            <w:rFonts w:ascii="Arial" w:hAnsi="Arial" w:cs="Arial"/>
            <w:noProof/>
            <w:color w:val="auto"/>
            <w:sz w:val="24"/>
            <w:szCs w:val="24"/>
          </w:rPr>
          <w:t>7</w:t>
        </w:r>
        <w:r w:rsidR="00EB73CB" w:rsidRPr="00EB73CB">
          <w:rPr>
            <w:rFonts w:ascii="Arial" w:eastAsiaTheme="minorEastAsia" w:hAnsi="Arial" w:cs="Arial"/>
            <w:b w:val="0"/>
            <w:bCs w:val="0"/>
            <w:caps w:val="0"/>
            <w:noProof/>
            <w:sz w:val="24"/>
            <w:szCs w:val="24"/>
            <w:lang w:val="de-DE"/>
          </w:rPr>
          <w:tab/>
        </w:r>
        <w:r w:rsidR="00EB73CB" w:rsidRPr="00EB73CB">
          <w:rPr>
            <w:rStyle w:val="Hyperlink"/>
            <w:rFonts w:ascii="Arial" w:hAnsi="Arial" w:cs="Arial"/>
            <w:noProof/>
            <w:color w:val="auto"/>
            <w:sz w:val="24"/>
            <w:szCs w:val="24"/>
          </w:rPr>
          <w:t>FORSCHUNGSPRÄMIE</w:t>
        </w:r>
        <w:r w:rsidR="00EB73CB" w:rsidRPr="00EB73CB">
          <w:rPr>
            <w:rFonts w:ascii="Arial" w:hAnsi="Arial" w:cs="Arial"/>
            <w:noProof/>
            <w:webHidden/>
            <w:sz w:val="24"/>
            <w:szCs w:val="24"/>
          </w:rPr>
          <w:tab/>
        </w:r>
        <w:r w:rsidR="00EB73CB" w:rsidRPr="00EB73CB">
          <w:rPr>
            <w:rFonts w:ascii="Arial" w:hAnsi="Arial" w:cs="Arial"/>
            <w:noProof/>
            <w:webHidden/>
            <w:sz w:val="24"/>
            <w:szCs w:val="24"/>
          </w:rPr>
          <w:fldChar w:fldCharType="begin"/>
        </w:r>
        <w:r w:rsidR="00EB73CB" w:rsidRPr="00EB73CB">
          <w:rPr>
            <w:rFonts w:ascii="Arial" w:hAnsi="Arial" w:cs="Arial"/>
            <w:noProof/>
            <w:webHidden/>
            <w:sz w:val="24"/>
            <w:szCs w:val="24"/>
          </w:rPr>
          <w:instrText xml:space="preserve"> PAGEREF _Toc116923139 \h </w:instrText>
        </w:r>
        <w:r w:rsidR="00EB73CB" w:rsidRPr="00EB73CB">
          <w:rPr>
            <w:rFonts w:ascii="Arial" w:hAnsi="Arial" w:cs="Arial"/>
            <w:noProof/>
            <w:webHidden/>
            <w:sz w:val="24"/>
            <w:szCs w:val="24"/>
          </w:rPr>
        </w:r>
        <w:r w:rsidR="00EB73CB" w:rsidRPr="00EB73CB">
          <w:rPr>
            <w:rFonts w:ascii="Arial" w:hAnsi="Arial" w:cs="Arial"/>
            <w:noProof/>
            <w:webHidden/>
            <w:sz w:val="24"/>
            <w:szCs w:val="24"/>
          </w:rPr>
          <w:fldChar w:fldCharType="separate"/>
        </w:r>
        <w:r w:rsidR="003A7CEA">
          <w:rPr>
            <w:rFonts w:ascii="Arial" w:hAnsi="Arial" w:cs="Arial"/>
            <w:noProof/>
            <w:webHidden/>
            <w:sz w:val="24"/>
            <w:szCs w:val="24"/>
          </w:rPr>
          <w:t>8</w:t>
        </w:r>
        <w:r w:rsidR="00EB73CB" w:rsidRPr="00EB73CB">
          <w:rPr>
            <w:rFonts w:ascii="Arial" w:hAnsi="Arial" w:cs="Arial"/>
            <w:noProof/>
            <w:webHidden/>
            <w:sz w:val="24"/>
            <w:szCs w:val="24"/>
          </w:rPr>
          <w:fldChar w:fldCharType="end"/>
        </w:r>
      </w:hyperlink>
    </w:p>
    <w:p w:rsidR="00EB73CB" w:rsidRPr="00EB73CB" w:rsidRDefault="006A08E6" w:rsidP="006A08E6">
      <w:pPr>
        <w:pStyle w:val="Verzeichnis1"/>
        <w:tabs>
          <w:tab w:val="left" w:pos="567"/>
          <w:tab w:val="right" w:leader="dot" w:pos="9204"/>
        </w:tabs>
        <w:spacing w:line="276" w:lineRule="auto"/>
        <w:ind w:left="426" w:hanging="426"/>
        <w:rPr>
          <w:rFonts w:ascii="Arial" w:eastAsiaTheme="minorEastAsia" w:hAnsi="Arial" w:cs="Arial"/>
          <w:b w:val="0"/>
          <w:bCs w:val="0"/>
          <w:caps w:val="0"/>
          <w:noProof/>
          <w:sz w:val="24"/>
          <w:szCs w:val="24"/>
          <w:lang w:val="de-DE"/>
        </w:rPr>
      </w:pPr>
      <w:r w:rsidRPr="006A08E6">
        <w:rPr>
          <w:rStyle w:val="Hyperlink"/>
          <w:rFonts w:ascii="Arial" w:hAnsi="Arial" w:cs="Arial"/>
          <w:b w:val="0"/>
          <w:bCs w:val="0"/>
          <w:noProof/>
          <w:color w:val="auto"/>
          <w:sz w:val="24"/>
          <w:szCs w:val="24"/>
          <w:u w:val="none"/>
        </w:rPr>
        <w:sym w:font="Wingdings" w:char="F070"/>
      </w:r>
      <w:r w:rsidRPr="006A08E6">
        <w:rPr>
          <w:rStyle w:val="Hyperlink"/>
          <w:rFonts w:ascii="Arial" w:hAnsi="Arial" w:cs="Arial"/>
          <w:b w:val="0"/>
          <w:bCs w:val="0"/>
          <w:noProof/>
          <w:color w:val="auto"/>
          <w:sz w:val="24"/>
          <w:szCs w:val="24"/>
          <w:u w:val="none"/>
        </w:rPr>
        <w:t xml:space="preserve">  </w:t>
      </w:r>
      <w:hyperlink w:anchor="_Toc116923140" w:history="1">
        <w:r w:rsidR="00EB73CB" w:rsidRPr="00EB73CB">
          <w:rPr>
            <w:rStyle w:val="Hyperlink"/>
            <w:rFonts w:ascii="Arial" w:hAnsi="Arial" w:cs="Arial"/>
            <w:noProof/>
            <w:color w:val="auto"/>
            <w:sz w:val="24"/>
            <w:szCs w:val="24"/>
          </w:rPr>
          <w:t>8</w:t>
        </w:r>
        <w:r w:rsidR="00EB73CB" w:rsidRPr="00EB73CB">
          <w:rPr>
            <w:rFonts w:ascii="Arial" w:eastAsiaTheme="minorEastAsia" w:hAnsi="Arial" w:cs="Arial"/>
            <w:b w:val="0"/>
            <w:bCs w:val="0"/>
            <w:caps w:val="0"/>
            <w:noProof/>
            <w:sz w:val="24"/>
            <w:szCs w:val="24"/>
            <w:lang w:val="de-DE"/>
          </w:rPr>
          <w:tab/>
        </w:r>
        <w:r w:rsidR="00EB73CB" w:rsidRPr="00EB73CB">
          <w:rPr>
            <w:rStyle w:val="Hyperlink"/>
            <w:rFonts w:ascii="Arial" w:hAnsi="Arial" w:cs="Arial"/>
            <w:noProof/>
            <w:color w:val="auto"/>
            <w:sz w:val="24"/>
            <w:szCs w:val="24"/>
          </w:rPr>
          <w:t>VORTEILE DER ELEKTROMOBILITÄT</w:t>
        </w:r>
        <w:r w:rsidR="00EB73CB" w:rsidRPr="00EB73CB">
          <w:rPr>
            <w:rFonts w:ascii="Arial" w:hAnsi="Arial" w:cs="Arial"/>
            <w:noProof/>
            <w:webHidden/>
            <w:sz w:val="24"/>
            <w:szCs w:val="24"/>
          </w:rPr>
          <w:tab/>
        </w:r>
        <w:r w:rsidR="00EB73CB" w:rsidRPr="00EB73CB">
          <w:rPr>
            <w:rFonts w:ascii="Arial" w:hAnsi="Arial" w:cs="Arial"/>
            <w:noProof/>
            <w:webHidden/>
            <w:sz w:val="24"/>
            <w:szCs w:val="24"/>
          </w:rPr>
          <w:fldChar w:fldCharType="begin"/>
        </w:r>
        <w:r w:rsidR="00EB73CB" w:rsidRPr="00EB73CB">
          <w:rPr>
            <w:rFonts w:ascii="Arial" w:hAnsi="Arial" w:cs="Arial"/>
            <w:noProof/>
            <w:webHidden/>
            <w:sz w:val="24"/>
            <w:szCs w:val="24"/>
          </w:rPr>
          <w:instrText xml:space="preserve"> PAGEREF _Toc116923140 \h </w:instrText>
        </w:r>
        <w:r w:rsidR="00EB73CB" w:rsidRPr="00EB73CB">
          <w:rPr>
            <w:rFonts w:ascii="Arial" w:hAnsi="Arial" w:cs="Arial"/>
            <w:noProof/>
            <w:webHidden/>
            <w:sz w:val="24"/>
            <w:szCs w:val="24"/>
          </w:rPr>
        </w:r>
        <w:r w:rsidR="00EB73CB" w:rsidRPr="00EB73CB">
          <w:rPr>
            <w:rFonts w:ascii="Arial" w:hAnsi="Arial" w:cs="Arial"/>
            <w:noProof/>
            <w:webHidden/>
            <w:sz w:val="24"/>
            <w:szCs w:val="24"/>
          </w:rPr>
          <w:fldChar w:fldCharType="separate"/>
        </w:r>
        <w:r w:rsidR="003A7CEA">
          <w:rPr>
            <w:rFonts w:ascii="Arial" w:hAnsi="Arial" w:cs="Arial"/>
            <w:noProof/>
            <w:webHidden/>
            <w:sz w:val="24"/>
            <w:szCs w:val="24"/>
          </w:rPr>
          <w:t>8</w:t>
        </w:r>
        <w:r w:rsidR="00EB73CB" w:rsidRPr="00EB73CB">
          <w:rPr>
            <w:rFonts w:ascii="Arial" w:hAnsi="Arial" w:cs="Arial"/>
            <w:noProof/>
            <w:webHidden/>
            <w:sz w:val="24"/>
            <w:szCs w:val="24"/>
          </w:rPr>
          <w:fldChar w:fldCharType="end"/>
        </w:r>
      </w:hyperlink>
    </w:p>
    <w:p w:rsidR="00EB73CB" w:rsidRPr="00EB73CB" w:rsidRDefault="006A08E6" w:rsidP="006A08E6">
      <w:pPr>
        <w:pStyle w:val="Verzeichnis1"/>
        <w:tabs>
          <w:tab w:val="left" w:pos="567"/>
          <w:tab w:val="right" w:leader="dot" w:pos="9204"/>
        </w:tabs>
        <w:spacing w:line="276" w:lineRule="auto"/>
        <w:ind w:left="426" w:hanging="426"/>
        <w:rPr>
          <w:rFonts w:ascii="Arial" w:eastAsiaTheme="minorEastAsia" w:hAnsi="Arial" w:cs="Arial"/>
          <w:b w:val="0"/>
          <w:bCs w:val="0"/>
          <w:caps w:val="0"/>
          <w:noProof/>
          <w:sz w:val="24"/>
          <w:szCs w:val="24"/>
          <w:lang w:val="de-DE"/>
        </w:rPr>
      </w:pPr>
      <w:r w:rsidRPr="006A08E6">
        <w:rPr>
          <w:rStyle w:val="Hyperlink"/>
          <w:rFonts w:ascii="Arial" w:hAnsi="Arial" w:cs="Arial"/>
          <w:b w:val="0"/>
          <w:bCs w:val="0"/>
          <w:noProof/>
          <w:color w:val="auto"/>
          <w:sz w:val="24"/>
          <w:szCs w:val="24"/>
          <w:u w:val="none"/>
        </w:rPr>
        <w:sym w:font="Wingdings" w:char="F070"/>
      </w:r>
      <w:r w:rsidRPr="006A08E6">
        <w:rPr>
          <w:rStyle w:val="Hyperlink"/>
          <w:rFonts w:ascii="Arial" w:hAnsi="Arial" w:cs="Arial"/>
          <w:b w:val="0"/>
          <w:bCs w:val="0"/>
          <w:noProof/>
          <w:color w:val="auto"/>
          <w:sz w:val="24"/>
          <w:szCs w:val="24"/>
          <w:u w:val="none"/>
        </w:rPr>
        <w:t xml:space="preserve">  </w:t>
      </w:r>
      <w:hyperlink w:anchor="_Toc116923141" w:history="1">
        <w:r w:rsidR="00EB73CB" w:rsidRPr="00EB73CB">
          <w:rPr>
            <w:rStyle w:val="Hyperlink"/>
            <w:rFonts w:ascii="Arial" w:hAnsi="Arial" w:cs="Arial"/>
            <w:noProof/>
            <w:color w:val="auto"/>
            <w:sz w:val="24"/>
            <w:szCs w:val="24"/>
          </w:rPr>
          <w:t>9</w:t>
        </w:r>
        <w:r w:rsidR="00EB73CB" w:rsidRPr="00EB73CB">
          <w:rPr>
            <w:rFonts w:ascii="Arial" w:eastAsiaTheme="minorEastAsia" w:hAnsi="Arial" w:cs="Arial"/>
            <w:b w:val="0"/>
            <w:bCs w:val="0"/>
            <w:caps w:val="0"/>
            <w:noProof/>
            <w:sz w:val="24"/>
            <w:szCs w:val="24"/>
            <w:lang w:val="de-DE"/>
          </w:rPr>
          <w:tab/>
        </w:r>
        <w:r w:rsidR="00EB73CB" w:rsidRPr="00EB73CB">
          <w:rPr>
            <w:rStyle w:val="Hyperlink"/>
            <w:rFonts w:ascii="Arial" w:hAnsi="Arial" w:cs="Arial"/>
            <w:noProof/>
            <w:color w:val="auto"/>
            <w:sz w:val="24"/>
            <w:szCs w:val="24"/>
          </w:rPr>
          <w:t>WERTPAPIERDECKUNG FÜR PENSIONSRÜCKSTELLUNG</w:t>
        </w:r>
        <w:r w:rsidR="00EB73CB" w:rsidRPr="00EB73CB">
          <w:rPr>
            <w:rFonts w:ascii="Arial" w:hAnsi="Arial" w:cs="Arial"/>
            <w:noProof/>
            <w:webHidden/>
            <w:sz w:val="24"/>
            <w:szCs w:val="24"/>
          </w:rPr>
          <w:tab/>
        </w:r>
        <w:r w:rsidR="00EB73CB" w:rsidRPr="00EB73CB">
          <w:rPr>
            <w:rFonts w:ascii="Arial" w:hAnsi="Arial" w:cs="Arial"/>
            <w:noProof/>
            <w:webHidden/>
            <w:sz w:val="24"/>
            <w:szCs w:val="24"/>
          </w:rPr>
          <w:fldChar w:fldCharType="begin"/>
        </w:r>
        <w:r w:rsidR="00EB73CB" w:rsidRPr="00EB73CB">
          <w:rPr>
            <w:rFonts w:ascii="Arial" w:hAnsi="Arial" w:cs="Arial"/>
            <w:noProof/>
            <w:webHidden/>
            <w:sz w:val="24"/>
            <w:szCs w:val="24"/>
          </w:rPr>
          <w:instrText xml:space="preserve"> PAGEREF _Toc116923141 \h </w:instrText>
        </w:r>
        <w:r w:rsidR="00EB73CB" w:rsidRPr="00EB73CB">
          <w:rPr>
            <w:rFonts w:ascii="Arial" w:hAnsi="Arial" w:cs="Arial"/>
            <w:noProof/>
            <w:webHidden/>
            <w:sz w:val="24"/>
            <w:szCs w:val="24"/>
          </w:rPr>
        </w:r>
        <w:r w:rsidR="00EB73CB" w:rsidRPr="00EB73CB">
          <w:rPr>
            <w:rFonts w:ascii="Arial" w:hAnsi="Arial" w:cs="Arial"/>
            <w:noProof/>
            <w:webHidden/>
            <w:sz w:val="24"/>
            <w:szCs w:val="24"/>
          </w:rPr>
          <w:fldChar w:fldCharType="separate"/>
        </w:r>
        <w:r w:rsidR="003A7CEA">
          <w:rPr>
            <w:rFonts w:ascii="Arial" w:hAnsi="Arial" w:cs="Arial"/>
            <w:noProof/>
            <w:webHidden/>
            <w:sz w:val="24"/>
            <w:szCs w:val="24"/>
          </w:rPr>
          <w:t>9</w:t>
        </w:r>
        <w:r w:rsidR="00EB73CB" w:rsidRPr="00EB73CB">
          <w:rPr>
            <w:rFonts w:ascii="Arial" w:hAnsi="Arial" w:cs="Arial"/>
            <w:noProof/>
            <w:webHidden/>
            <w:sz w:val="24"/>
            <w:szCs w:val="24"/>
          </w:rPr>
          <w:fldChar w:fldCharType="end"/>
        </w:r>
      </w:hyperlink>
    </w:p>
    <w:p w:rsidR="00EB73CB" w:rsidRPr="00EB73CB" w:rsidRDefault="006A08E6" w:rsidP="006A08E6">
      <w:pPr>
        <w:pStyle w:val="Verzeichnis1"/>
        <w:tabs>
          <w:tab w:val="left" w:pos="567"/>
          <w:tab w:val="right" w:leader="dot" w:pos="9204"/>
        </w:tabs>
        <w:spacing w:line="276" w:lineRule="auto"/>
        <w:ind w:left="426" w:hanging="426"/>
        <w:rPr>
          <w:rFonts w:ascii="Arial" w:eastAsiaTheme="minorEastAsia" w:hAnsi="Arial" w:cs="Arial"/>
          <w:b w:val="0"/>
          <w:bCs w:val="0"/>
          <w:caps w:val="0"/>
          <w:noProof/>
          <w:sz w:val="24"/>
          <w:szCs w:val="24"/>
          <w:lang w:val="de-DE"/>
        </w:rPr>
      </w:pPr>
      <w:r w:rsidRPr="006A08E6">
        <w:rPr>
          <w:rStyle w:val="Hyperlink"/>
          <w:rFonts w:ascii="Arial" w:hAnsi="Arial" w:cs="Arial"/>
          <w:b w:val="0"/>
          <w:bCs w:val="0"/>
          <w:noProof/>
          <w:color w:val="auto"/>
          <w:sz w:val="24"/>
          <w:szCs w:val="24"/>
          <w:u w:val="none"/>
        </w:rPr>
        <w:sym w:font="Wingdings" w:char="F070"/>
      </w:r>
      <w:r w:rsidRPr="006A08E6">
        <w:rPr>
          <w:rStyle w:val="Hyperlink"/>
          <w:rFonts w:ascii="Arial" w:hAnsi="Arial" w:cs="Arial"/>
          <w:b w:val="0"/>
          <w:bCs w:val="0"/>
          <w:noProof/>
          <w:color w:val="auto"/>
          <w:sz w:val="24"/>
          <w:szCs w:val="24"/>
          <w:u w:val="none"/>
        </w:rPr>
        <w:t xml:space="preserve"> </w:t>
      </w:r>
      <w:hyperlink w:anchor="_Toc116923142" w:history="1">
        <w:r w:rsidR="00EB73CB" w:rsidRPr="00EB73CB">
          <w:rPr>
            <w:rStyle w:val="Hyperlink"/>
            <w:rFonts w:ascii="Arial" w:hAnsi="Arial" w:cs="Arial"/>
            <w:noProof/>
            <w:color w:val="auto"/>
            <w:sz w:val="24"/>
            <w:szCs w:val="24"/>
          </w:rPr>
          <w:t>10</w:t>
        </w:r>
        <w:r>
          <w:rPr>
            <w:rStyle w:val="Hyperlink"/>
            <w:rFonts w:ascii="Arial" w:hAnsi="Arial" w:cs="Arial"/>
            <w:noProof/>
            <w:color w:val="auto"/>
            <w:sz w:val="24"/>
            <w:szCs w:val="24"/>
          </w:rPr>
          <w:tab/>
        </w:r>
        <w:r w:rsidR="00EB73CB" w:rsidRPr="00EB73CB">
          <w:rPr>
            <w:rStyle w:val="Hyperlink"/>
            <w:rFonts w:ascii="Arial" w:hAnsi="Arial" w:cs="Arial"/>
            <w:noProof/>
            <w:color w:val="auto"/>
            <w:sz w:val="24"/>
            <w:szCs w:val="24"/>
          </w:rPr>
          <w:t>TIPPS FÜR KLEINUNTERNEHMER</w:t>
        </w:r>
        <w:r w:rsidR="00EB73CB" w:rsidRPr="00EB73CB">
          <w:rPr>
            <w:rFonts w:ascii="Arial" w:hAnsi="Arial" w:cs="Arial"/>
            <w:noProof/>
            <w:webHidden/>
            <w:sz w:val="24"/>
            <w:szCs w:val="24"/>
          </w:rPr>
          <w:tab/>
        </w:r>
        <w:r w:rsidR="00EB73CB" w:rsidRPr="00EB73CB">
          <w:rPr>
            <w:rFonts w:ascii="Arial" w:hAnsi="Arial" w:cs="Arial"/>
            <w:noProof/>
            <w:webHidden/>
            <w:sz w:val="24"/>
            <w:szCs w:val="24"/>
          </w:rPr>
          <w:fldChar w:fldCharType="begin"/>
        </w:r>
        <w:r w:rsidR="00EB73CB" w:rsidRPr="00EB73CB">
          <w:rPr>
            <w:rFonts w:ascii="Arial" w:hAnsi="Arial" w:cs="Arial"/>
            <w:noProof/>
            <w:webHidden/>
            <w:sz w:val="24"/>
            <w:szCs w:val="24"/>
          </w:rPr>
          <w:instrText xml:space="preserve"> PAGEREF _Toc116923142 \h </w:instrText>
        </w:r>
        <w:r w:rsidR="00EB73CB" w:rsidRPr="00EB73CB">
          <w:rPr>
            <w:rFonts w:ascii="Arial" w:hAnsi="Arial" w:cs="Arial"/>
            <w:noProof/>
            <w:webHidden/>
            <w:sz w:val="24"/>
            <w:szCs w:val="24"/>
          </w:rPr>
        </w:r>
        <w:r w:rsidR="00EB73CB" w:rsidRPr="00EB73CB">
          <w:rPr>
            <w:rFonts w:ascii="Arial" w:hAnsi="Arial" w:cs="Arial"/>
            <w:noProof/>
            <w:webHidden/>
            <w:sz w:val="24"/>
            <w:szCs w:val="24"/>
          </w:rPr>
          <w:fldChar w:fldCharType="separate"/>
        </w:r>
        <w:r w:rsidR="003A7CEA">
          <w:rPr>
            <w:rFonts w:ascii="Arial" w:hAnsi="Arial" w:cs="Arial"/>
            <w:noProof/>
            <w:webHidden/>
            <w:sz w:val="24"/>
            <w:szCs w:val="24"/>
          </w:rPr>
          <w:t>9</w:t>
        </w:r>
        <w:r w:rsidR="00EB73CB" w:rsidRPr="00EB73CB">
          <w:rPr>
            <w:rFonts w:ascii="Arial" w:hAnsi="Arial" w:cs="Arial"/>
            <w:noProof/>
            <w:webHidden/>
            <w:sz w:val="24"/>
            <w:szCs w:val="24"/>
          </w:rPr>
          <w:fldChar w:fldCharType="end"/>
        </w:r>
      </w:hyperlink>
    </w:p>
    <w:p w:rsidR="00EB73CB" w:rsidRPr="006A08E6" w:rsidRDefault="006A08E6" w:rsidP="00752662">
      <w:pPr>
        <w:pStyle w:val="Verzeichnis2"/>
        <w:rPr>
          <w:rFonts w:eastAsiaTheme="minorEastAsia"/>
          <w:lang w:val="de-DE"/>
        </w:rPr>
      </w:pPr>
      <w:r w:rsidRPr="006A08E6">
        <w:rPr>
          <w:rStyle w:val="Hyperlink"/>
          <w:color w:val="auto"/>
          <w:u w:val="none"/>
        </w:rPr>
        <w:sym w:font="Wingdings" w:char="F070"/>
      </w:r>
      <w:r>
        <w:rPr>
          <w:rStyle w:val="Hyperlink"/>
          <w:color w:val="auto"/>
          <w:u w:val="none"/>
        </w:rPr>
        <w:t xml:space="preserve"> </w:t>
      </w:r>
      <w:hyperlink w:anchor="_Toc116923143" w:history="1">
        <w:r w:rsidR="00EB73CB" w:rsidRPr="006A08E6">
          <w:rPr>
            <w:rStyle w:val="Hyperlink"/>
            <w:color w:val="auto"/>
          </w:rPr>
          <w:t>10.1  Kleinnunternehmer in der Umsatzsteuer</w:t>
        </w:r>
        <w:r w:rsidR="00EB73CB" w:rsidRPr="006A08E6">
          <w:rPr>
            <w:webHidden/>
          </w:rPr>
          <w:tab/>
        </w:r>
        <w:r w:rsidR="00EB73CB" w:rsidRPr="006A08E6">
          <w:rPr>
            <w:webHidden/>
          </w:rPr>
          <w:fldChar w:fldCharType="begin"/>
        </w:r>
        <w:r w:rsidR="00EB73CB" w:rsidRPr="006A08E6">
          <w:rPr>
            <w:webHidden/>
          </w:rPr>
          <w:instrText xml:space="preserve"> PAGEREF _Toc116923143 \h </w:instrText>
        </w:r>
        <w:r w:rsidR="00EB73CB" w:rsidRPr="006A08E6">
          <w:rPr>
            <w:webHidden/>
          </w:rPr>
        </w:r>
        <w:r w:rsidR="00EB73CB" w:rsidRPr="006A08E6">
          <w:rPr>
            <w:webHidden/>
          </w:rPr>
          <w:fldChar w:fldCharType="separate"/>
        </w:r>
        <w:r w:rsidR="003A7CEA">
          <w:rPr>
            <w:webHidden/>
          </w:rPr>
          <w:t>9</w:t>
        </w:r>
        <w:r w:rsidR="00EB73CB" w:rsidRPr="006A08E6">
          <w:rPr>
            <w:webHidden/>
          </w:rPr>
          <w:fldChar w:fldCharType="end"/>
        </w:r>
      </w:hyperlink>
    </w:p>
    <w:p w:rsidR="00EB73CB" w:rsidRPr="006A08E6" w:rsidRDefault="006A08E6" w:rsidP="00752662">
      <w:pPr>
        <w:pStyle w:val="Verzeichnis2"/>
        <w:rPr>
          <w:rFonts w:eastAsiaTheme="minorEastAsia"/>
          <w:lang w:val="de-DE"/>
        </w:rPr>
      </w:pPr>
      <w:r w:rsidRPr="006A08E6">
        <w:rPr>
          <w:rStyle w:val="Hyperlink"/>
          <w:color w:val="auto"/>
          <w:u w:val="none"/>
        </w:rPr>
        <w:sym w:font="Wingdings" w:char="F070"/>
      </w:r>
      <w:r>
        <w:rPr>
          <w:rStyle w:val="Hyperlink"/>
          <w:color w:val="auto"/>
          <w:u w:val="none"/>
        </w:rPr>
        <w:t xml:space="preserve"> </w:t>
      </w:r>
      <w:hyperlink w:anchor="_Toc116923145" w:history="1">
        <w:r w:rsidR="00EB73CB" w:rsidRPr="006A08E6">
          <w:rPr>
            <w:rStyle w:val="Hyperlink"/>
            <w:b/>
            <w:bCs/>
            <w:color w:val="auto"/>
          </w:rPr>
          <w:t>10.2  Kleinunternehmerpauschalierung für Einnahmen-Ausgaben</w:t>
        </w:r>
        <w:r w:rsidR="00F9548A">
          <w:rPr>
            <w:rStyle w:val="Hyperlink"/>
            <w:b/>
            <w:bCs/>
            <w:color w:val="auto"/>
          </w:rPr>
          <w:t>-</w:t>
        </w:r>
        <w:r w:rsidR="00EB73CB" w:rsidRPr="006A08E6">
          <w:rPr>
            <w:rStyle w:val="Hyperlink"/>
            <w:b/>
            <w:bCs/>
            <w:color w:val="auto"/>
          </w:rPr>
          <w:t>Rechner</w:t>
        </w:r>
        <w:r w:rsidR="00EB73CB" w:rsidRPr="006A08E6">
          <w:rPr>
            <w:webHidden/>
          </w:rPr>
          <w:tab/>
        </w:r>
        <w:r w:rsidR="00EB73CB" w:rsidRPr="006A08E6">
          <w:rPr>
            <w:webHidden/>
          </w:rPr>
          <w:fldChar w:fldCharType="begin"/>
        </w:r>
        <w:r w:rsidR="00EB73CB" w:rsidRPr="006A08E6">
          <w:rPr>
            <w:webHidden/>
          </w:rPr>
          <w:instrText xml:space="preserve"> PAGEREF _Toc116923145 \h </w:instrText>
        </w:r>
        <w:r w:rsidR="00EB73CB" w:rsidRPr="006A08E6">
          <w:rPr>
            <w:webHidden/>
          </w:rPr>
        </w:r>
        <w:r w:rsidR="00EB73CB" w:rsidRPr="006A08E6">
          <w:rPr>
            <w:webHidden/>
          </w:rPr>
          <w:fldChar w:fldCharType="separate"/>
        </w:r>
        <w:r w:rsidR="003A7CEA">
          <w:rPr>
            <w:webHidden/>
          </w:rPr>
          <w:t>10</w:t>
        </w:r>
        <w:r w:rsidR="00EB73CB" w:rsidRPr="006A08E6">
          <w:rPr>
            <w:webHidden/>
          </w:rPr>
          <w:fldChar w:fldCharType="end"/>
        </w:r>
      </w:hyperlink>
    </w:p>
    <w:p w:rsidR="00EB73CB" w:rsidRPr="00EB73CB" w:rsidRDefault="006A08E6" w:rsidP="006A08E6">
      <w:pPr>
        <w:pStyle w:val="Verzeichnis1"/>
        <w:tabs>
          <w:tab w:val="left" w:pos="567"/>
          <w:tab w:val="right" w:leader="dot" w:pos="9204"/>
        </w:tabs>
        <w:spacing w:line="276" w:lineRule="auto"/>
        <w:ind w:left="426" w:hanging="426"/>
        <w:rPr>
          <w:rFonts w:ascii="Arial" w:eastAsiaTheme="minorEastAsia" w:hAnsi="Arial" w:cs="Arial"/>
          <w:b w:val="0"/>
          <w:bCs w:val="0"/>
          <w:caps w:val="0"/>
          <w:noProof/>
          <w:sz w:val="24"/>
          <w:szCs w:val="24"/>
          <w:lang w:val="de-DE"/>
        </w:rPr>
      </w:pPr>
      <w:r w:rsidRPr="006A08E6">
        <w:rPr>
          <w:rStyle w:val="Hyperlink"/>
          <w:rFonts w:ascii="Arial" w:hAnsi="Arial" w:cs="Arial"/>
          <w:b w:val="0"/>
          <w:bCs w:val="0"/>
          <w:noProof/>
          <w:color w:val="auto"/>
          <w:sz w:val="24"/>
          <w:szCs w:val="24"/>
          <w:u w:val="none"/>
        </w:rPr>
        <w:sym w:font="Wingdings" w:char="F070"/>
      </w:r>
      <w:r>
        <w:rPr>
          <w:rStyle w:val="Hyperlink"/>
          <w:rFonts w:ascii="Arial" w:hAnsi="Arial" w:cs="Arial"/>
          <w:b w:val="0"/>
          <w:bCs w:val="0"/>
          <w:noProof/>
          <w:color w:val="auto"/>
          <w:sz w:val="24"/>
          <w:szCs w:val="24"/>
          <w:u w:val="none"/>
        </w:rPr>
        <w:t xml:space="preserve"> </w:t>
      </w:r>
      <w:hyperlink w:anchor="_Toc116923146" w:history="1">
        <w:r w:rsidR="00EB73CB" w:rsidRPr="00EB73CB">
          <w:rPr>
            <w:rStyle w:val="Hyperlink"/>
            <w:rFonts w:ascii="Arial" w:hAnsi="Arial" w:cs="Arial"/>
            <w:noProof/>
            <w:color w:val="auto"/>
            <w:sz w:val="24"/>
            <w:szCs w:val="24"/>
          </w:rPr>
          <w:t>11</w:t>
        </w:r>
        <w:r w:rsidR="00EB73CB" w:rsidRPr="00EB73CB">
          <w:rPr>
            <w:rFonts w:ascii="Arial" w:eastAsiaTheme="minorEastAsia" w:hAnsi="Arial" w:cs="Arial"/>
            <w:b w:val="0"/>
            <w:bCs w:val="0"/>
            <w:caps w:val="0"/>
            <w:noProof/>
            <w:sz w:val="24"/>
            <w:szCs w:val="24"/>
            <w:lang w:val="de-DE"/>
          </w:rPr>
          <w:tab/>
        </w:r>
        <w:r w:rsidR="00F9548A">
          <w:rPr>
            <w:rFonts w:ascii="Arial" w:eastAsiaTheme="minorEastAsia" w:hAnsi="Arial" w:cs="Arial"/>
            <w:b w:val="0"/>
            <w:bCs w:val="0"/>
            <w:caps w:val="0"/>
            <w:noProof/>
            <w:sz w:val="24"/>
            <w:szCs w:val="24"/>
            <w:lang w:val="de-DE"/>
          </w:rPr>
          <w:t xml:space="preserve"> </w:t>
        </w:r>
        <w:r w:rsidR="00EB73CB" w:rsidRPr="00EB73CB">
          <w:rPr>
            <w:rStyle w:val="Hyperlink"/>
            <w:rFonts w:ascii="Arial" w:hAnsi="Arial" w:cs="Arial"/>
            <w:noProof/>
            <w:color w:val="auto"/>
            <w:sz w:val="24"/>
            <w:szCs w:val="24"/>
          </w:rPr>
          <w:t>KLEINUNTERNEHMER-GSVG-BEFREIUNG BEANTRAGEN</w:t>
        </w:r>
        <w:r w:rsidR="00EB73CB" w:rsidRPr="00EB73CB">
          <w:rPr>
            <w:rFonts w:ascii="Arial" w:hAnsi="Arial" w:cs="Arial"/>
            <w:noProof/>
            <w:webHidden/>
            <w:sz w:val="24"/>
            <w:szCs w:val="24"/>
          </w:rPr>
          <w:tab/>
        </w:r>
        <w:r w:rsidR="00EB73CB" w:rsidRPr="00EB73CB">
          <w:rPr>
            <w:rFonts w:ascii="Arial" w:hAnsi="Arial" w:cs="Arial"/>
            <w:noProof/>
            <w:webHidden/>
            <w:sz w:val="24"/>
            <w:szCs w:val="24"/>
          </w:rPr>
          <w:fldChar w:fldCharType="begin"/>
        </w:r>
        <w:r w:rsidR="00EB73CB" w:rsidRPr="00EB73CB">
          <w:rPr>
            <w:rFonts w:ascii="Arial" w:hAnsi="Arial" w:cs="Arial"/>
            <w:noProof/>
            <w:webHidden/>
            <w:sz w:val="24"/>
            <w:szCs w:val="24"/>
          </w:rPr>
          <w:instrText xml:space="preserve"> PAGEREF _Toc116923146 \h </w:instrText>
        </w:r>
        <w:r w:rsidR="00EB73CB" w:rsidRPr="00EB73CB">
          <w:rPr>
            <w:rFonts w:ascii="Arial" w:hAnsi="Arial" w:cs="Arial"/>
            <w:noProof/>
            <w:webHidden/>
            <w:sz w:val="24"/>
            <w:szCs w:val="24"/>
          </w:rPr>
        </w:r>
        <w:r w:rsidR="00EB73CB" w:rsidRPr="00EB73CB">
          <w:rPr>
            <w:rFonts w:ascii="Arial" w:hAnsi="Arial" w:cs="Arial"/>
            <w:noProof/>
            <w:webHidden/>
            <w:sz w:val="24"/>
            <w:szCs w:val="24"/>
          </w:rPr>
          <w:fldChar w:fldCharType="separate"/>
        </w:r>
        <w:r w:rsidR="003A7CEA">
          <w:rPr>
            <w:rFonts w:ascii="Arial" w:hAnsi="Arial" w:cs="Arial"/>
            <w:noProof/>
            <w:webHidden/>
            <w:sz w:val="24"/>
            <w:szCs w:val="24"/>
          </w:rPr>
          <w:t>10</w:t>
        </w:r>
        <w:r w:rsidR="00EB73CB" w:rsidRPr="00EB73CB">
          <w:rPr>
            <w:rFonts w:ascii="Arial" w:hAnsi="Arial" w:cs="Arial"/>
            <w:noProof/>
            <w:webHidden/>
            <w:sz w:val="24"/>
            <w:szCs w:val="24"/>
          </w:rPr>
          <w:fldChar w:fldCharType="end"/>
        </w:r>
      </w:hyperlink>
    </w:p>
    <w:p w:rsidR="00EB73CB" w:rsidRPr="00EB73CB" w:rsidRDefault="006A08E6" w:rsidP="006A08E6">
      <w:pPr>
        <w:pStyle w:val="Verzeichnis1"/>
        <w:tabs>
          <w:tab w:val="left" w:pos="567"/>
          <w:tab w:val="right" w:leader="dot" w:pos="9204"/>
        </w:tabs>
        <w:spacing w:line="276" w:lineRule="auto"/>
        <w:ind w:left="426" w:hanging="426"/>
        <w:rPr>
          <w:rFonts w:ascii="Arial" w:eastAsiaTheme="minorEastAsia" w:hAnsi="Arial" w:cs="Arial"/>
          <w:b w:val="0"/>
          <w:bCs w:val="0"/>
          <w:caps w:val="0"/>
          <w:noProof/>
          <w:sz w:val="24"/>
          <w:szCs w:val="24"/>
          <w:lang w:val="de-DE"/>
        </w:rPr>
      </w:pPr>
      <w:r w:rsidRPr="006A08E6">
        <w:rPr>
          <w:rStyle w:val="Hyperlink"/>
          <w:rFonts w:ascii="Arial" w:hAnsi="Arial" w:cs="Arial"/>
          <w:b w:val="0"/>
          <w:bCs w:val="0"/>
          <w:noProof/>
          <w:color w:val="auto"/>
          <w:sz w:val="24"/>
          <w:szCs w:val="24"/>
          <w:u w:val="none"/>
        </w:rPr>
        <w:sym w:font="Wingdings" w:char="F070"/>
      </w:r>
      <w:r>
        <w:rPr>
          <w:rStyle w:val="Hyperlink"/>
          <w:rFonts w:ascii="Arial" w:hAnsi="Arial" w:cs="Arial"/>
          <w:b w:val="0"/>
          <w:bCs w:val="0"/>
          <w:noProof/>
          <w:color w:val="auto"/>
          <w:sz w:val="24"/>
          <w:szCs w:val="24"/>
          <w:u w:val="none"/>
        </w:rPr>
        <w:t xml:space="preserve"> </w:t>
      </w:r>
      <w:hyperlink w:anchor="_Toc116923147" w:history="1">
        <w:r w:rsidR="00EB73CB" w:rsidRPr="00EB73CB">
          <w:rPr>
            <w:rStyle w:val="Hyperlink"/>
            <w:rFonts w:ascii="Arial" w:hAnsi="Arial" w:cs="Arial"/>
            <w:noProof/>
            <w:color w:val="auto"/>
            <w:sz w:val="24"/>
            <w:szCs w:val="24"/>
          </w:rPr>
          <w:t>12</w:t>
        </w:r>
        <w:r w:rsidR="00EB73CB" w:rsidRPr="00EB73CB">
          <w:rPr>
            <w:rFonts w:ascii="Arial" w:eastAsiaTheme="minorEastAsia" w:hAnsi="Arial" w:cs="Arial"/>
            <w:b w:val="0"/>
            <w:bCs w:val="0"/>
            <w:caps w:val="0"/>
            <w:noProof/>
            <w:sz w:val="24"/>
            <w:szCs w:val="24"/>
            <w:lang w:val="de-DE"/>
          </w:rPr>
          <w:tab/>
        </w:r>
        <w:r w:rsidR="00F9548A">
          <w:rPr>
            <w:rFonts w:ascii="Arial" w:eastAsiaTheme="minorEastAsia" w:hAnsi="Arial" w:cs="Arial"/>
            <w:b w:val="0"/>
            <w:bCs w:val="0"/>
            <w:caps w:val="0"/>
            <w:noProof/>
            <w:sz w:val="24"/>
            <w:szCs w:val="24"/>
            <w:lang w:val="de-DE"/>
          </w:rPr>
          <w:t xml:space="preserve"> </w:t>
        </w:r>
        <w:r w:rsidR="00EB73CB" w:rsidRPr="00EB73CB">
          <w:rPr>
            <w:rStyle w:val="Hyperlink"/>
            <w:rFonts w:ascii="Arial" w:hAnsi="Arial" w:cs="Arial"/>
            <w:noProof/>
            <w:color w:val="auto"/>
            <w:sz w:val="24"/>
            <w:szCs w:val="24"/>
          </w:rPr>
          <w:t>ARBEITSPLATZPAUSCHALE UND NETZKARTE FÜR SELBSTÄNDIGE</w:t>
        </w:r>
        <w:r w:rsidR="00EB73CB" w:rsidRPr="00EB73CB">
          <w:rPr>
            <w:rFonts w:ascii="Arial" w:hAnsi="Arial" w:cs="Arial"/>
            <w:noProof/>
            <w:webHidden/>
            <w:sz w:val="24"/>
            <w:szCs w:val="24"/>
          </w:rPr>
          <w:tab/>
        </w:r>
        <w:r w:rsidR="00EB73CB" w:rsidRPr="00EB73CB">
          <w:rPr>
            <w:rFonts w:ascii="Arial" w:hAnsi="Arial" w:cs="Arial"/>
            <w:noProof/>
            <w:webHidden/>
            <w:sz w:val="24"/>
            <w:szCs w:val="24"/>
          </w:rPr>
          <w:fldChar w:fldCharType="begin"/>
        </w:r>
        <w:r w:rsidR="00EB73CB" w:rsidRPr="00EB73CB">
          <w:rPr>
            <w:rFonts w:ascii="Arial" w:hAnsi="Arial" w:cs="Arial"/>
            <w:noProof/>
            <w:webHidden/>
            <w:sz w:val="24"/>
            <w:szCs w:val="24"/>
          </w:rPr>
          <w:instrText xml:space="preserve"> PAGEREF _Toc116923147 \h </w:instrText>
        </w:r>
        <w:r w:rsidR="00EB73CB" w:rsidRPr="00EB73CB">
          <w:rPr>
            <w:rFonts w:ascii="Arial" w:hAnsi="Arial" w:cs="Arial"/>
            <w:noProof/>
            <w:webHidden/>
            <w:sz w:val="24"/>
            <w:szCs w:val="24"/>
          </w:rPr>
        </w:r>
        <w:r w:rsidR="00EB73CB" w:rsidRPr="00EB73CB">
          <w:rPr>
            <w:rFonts w:ascii="Arial" w:hAnsi="Arial" w:cs="Arial"/>
            <w:noProof/>
            <w:webHidden/>
            <w:sz w:val="24"/>
            <w:szCs w:val="24"/>
          </w:rPr>
          <w:fldChar w:fldCharType="separate"/>
        </w:r>
        <w:r w:rsidR="003A7CEA">
          <w:rPr>
            <w:rFonts w:ascii="Arial" w:hAnsi="Arial" w:cs="Arial"/>
            <w:noProof/>
            <w:webHidden/>
            <w:sz w:val="24"/>
            <w:szCs w:val="24"/>
          </w:rPr>
          <w:t>11</w:t>
        </w:r>
        <w:r w:rsidR="00EB73CB" w:rsidRPr="00EB73CB">
          <w:rPr>
            <w:rFonts w:ascii="Arial" w:hAnsi="Arial" w:cs="Arial"/>
            <w:noProof/>
            <w:webHidden/>
            <w:sz w:val="24"/>
            <w:szCs w:val="24"/>
          </w:rPr>
          <w:fldChar w:fldCharType="end"/>
        </w:r>
      </w:hyperlink>
    </w:p>
    <w:p w:rsidR="00EB73CB" w:rsidRDefault="006A08E6" w:rsidP="006A08E6">
      <w:pPr>
        <w:pStyle w:val="Verzeichnis1"/>
        <w:tabs>
          <w:tab w:val="left" w:pos="567"/>
          <w:tab w:val="right" w:leader="dot" w:pos="9204"/>
        </w:tabs>
        <w:spacing w:line="276" w:lineRule="auto"/>
        <w:ind w:left="426" w:hanging="426"/>
        <w:rPr>
          <w:rStyle w:val="Hyperlink"/>
          <w:rFonts w:ascii="Arial" w:hAnsi="Arial" w:cs="Arial"/>
          <w:noProof/>
          <w:color w:val="auto"/>
          <w:sz w:val="24"/>
          <w:szCs w:val="24"/>
        </w:rPr>
      </w:pPr>
      <w:r w:rsidRPr="006A08E6">
        <w:rPr>
          <w:rStyle w:val="Hyperlink"/>
          <w:rFonts w:ascii="Arial" w:hAnsi="Arial" w:cs="Arial"/>
          <w:b w:val="0"/>
          <w:bCs w:val="0"/>
          <w:noProof/>
          <w:color w:val="auto"/>
          <w:sz w:val="24"/>
          <w:szCs w:val="24"/>
          <w:u w:val="none"/>
        </w:rPr>
        <w:sym w:font="Wingdings" w:char="F070"/>
      </w:r>
      <w:r>
        <w:rPr>
          <w:rStyle w:val="Hyperlink"/>
          <w:rFonts w:ascii="Arial" w:hAnsi="Arial" w:cs="Arial"/>
          <w:b w:val="0"/>
          <w:bCs w:val="0"/>
          <w:noProof/>
          <w:color w:val="auto"/>
          <w:sz w:val="24"/>
          <w:szCs w:val="24"/>
          <w:u w:val="none"/>
        </w:rPr>
        <w:t xml:space="preserve"> </w:t>
      </w:r>
      <w:hyperlink w:anchor="_Toc116923148" w:history="1">
        <w:r w:rsidR="00EB73CB" w:rsidRPr="00EB73CB">
          <w:rPr>
            <w:rStyle w:val="Hyperlink"/>
            <w:rFonts w:ascii="Arial" w:hAnsi="Arial" w:cs="Arial"/>
            <w:noProof/>
            <w:color w:val="auto"/>
            <w:sz w:val="24"/>
            <w:szCs w:val="24"/>
          </w:rPr>
          <w:t>13</w:t>
        </w:r>
        <w:r w:rsidR="00F9548A">
          <w:rPr>
            <w:rStyle w:val="Hyperlink"/>
            <w:rFonts w:ascii="Arial" w:hAnsi="Arial" w:cs="Arial"/>
            <w:noProof/>
            <w:color w:val="auto"/>
            <w:sz w:val="24"/>
            <w:szCs w:val="24"/>
          </w:rPr>
          <w:t xml:space="preserve"> </w:t>
        </w:r>
        <w:r w:rsidR="00EB73CB" w:rsidRPr="00EB73CB">
          <w:rPr>
            <w:rStyle w:val="Hyperlink"/>
            <w:rFonts w:ascii="Arial" w:hAnsi="Arial" w:cs="Arial"/>
            <w:noProof/>
            <w:color w:val="auto"/>
            <w:sz w:val="24"/>
            <w:szCs w:val="24"/>
          </w:rPr>
          <w:t>ENDE DER AUFBEWAHRUNG FÜR UNTERLAGEN AUS 2015</w:t>
        </w:r>
        <w:r w:rsidR="00EB73CB" w:rsidRPr="00EB73CB">
          <w:rPr>
            <w:rFonts w:ascii="Arial" w:hAnsi="Arial" w:cs="Arial"/>
            <w:noProof/>
            <w:webHidden/>
            <w:sz w:val="24"/>
            <w:szCs w:val="24"/>
          </w:rPr>
          <w:tab/>
        </w:r>
        <w:r w:rsidR="00EB73CB" w:rsidRPr="00EB73CB">
          <w:rPr>
            <w:rFonts w:ascii="Arial" w:hAnsi="Arial" w:cs="Arial"/>
            <w:noProof/>
            <w:webHidden/>
            <w:sz w:val="24"/>
            <w:szCs w:val="24"/>
          </w:rPr>
          <w:fldChar w:fldCharType="begin"/>
        </w:r>
        <w:r w:rsidR="00EB73CB" w:rsidRPr="00EB73CB">
          <w:rPr>
            <w:rFonts w:ascii="Arial" w:hAnsi="Arial" w:cs="Arial"/>
            <w:noProof/>
            <w:webHidden/>
            <w:sz w:val="24"/>
            <w:szCs w:val="24"/>
          </w:rPr>
          <w:instrText xml:space="preserve"> PAGEREF _Toc116923148 \h </w:instrText>
        </w:r>
        <w:r w:rsidR="00EB73CB" w:rsidRPr="00EB73CB">
          <w:rPr>
            <w:rFonts w:ascii="Arial" w:hAnsi="Arial" w:cs="Arial"/>
            <w:noProof/>
            <w:webHidden/>
            <w:sz w:val="24"/>
            <w:szCs w:val="24"/>
          </w:rPr>
        </w:r>
        <w:r w:rsidR="00EB73CB" w:rsidRPr="00EB73CB">
          <w:rPr>
            <w:rFonts w:ascii="Arial" w:hAnsi="Arial" w:cs="Arial"/>
            <w:noProof/>
            <w:webHidden/>
            <w:sz w:val="24"/>
            <w:szCs w:val="24"/>
          </w:rPr>
          <w:fldChar w:fldCharType="separate"/>
        </w:r>
        <w:r w:rsidR="003A7CEA">
          <w:rPr>
            <w:rFonts w:ascii="Arial" w:hAnsi="Arial" w:cs="Arial"/>
            <w:noProof/>
            <w:webHidden/>
            <w:sz w:val="24"/>
            <w:szCs w:val="24"/>
          </w:rPr>
          <w:t>11</w:t>
        </w:r>
        <w:r w:rsidR="00EB73CB" w:rsidRPr="00EB73CB">
          <w:rPr>
            <w:rFonts w:ascii="Arial" w:hAnsi="Arial" w:cs="Arial"/>
            <w:noProof/>
            <w:webHidden/>
            <w:sz w:val="24"/>
            <w:szCs w:val="24"/>
          </w:rPr>
          <w:fldChar w:fldCharType="end"/>
        </w:r>
      </w:hyperlink>
    </w:p>
    <w:p w:rsidR="006A08E6" w:rsidRPr="006A08E6" w:rsidRDefault="006A08E6" w:rsidP="006A08E6">
      <w:pPr>
        <w:rPr>
          <w:rFonts w:eastAsiaTheme="minorEastAsia"/>
        </w:rPr>
      </w:pPr>
    </w:p>
    <w:p w:rsidR="00EB73CB" w:rsidRPr="006A08E6" w:rsidRDefault="00B74060" w:rsidP="00EB73CB">
      <w:pPr>
        <w:pStyle w:val="Verzeichnis1"/>
        <w:tabs>
          <w:tab w:val="right" w:leader="dot" w:pos="9204"/>
        </w:tabs>
        <w:spacing w:line="276" w:lineRule="auto"/>
        <w:rPr>
          <w:rFonts w:ascii="Arial" w:eastAsiaTheme="minorEastAsia" w:hAnsi="Arial" w:cs="Arial"/>
          <w:b w:val="0"/>
          <w:bCs w:val="0"/>
          <w:caps w:val="0"/>
          <w:noProof/>
          <w:color w:val="E36C0A" w:themeColor="accent6" w:themeShade="BF"/>
          <w:sz w:val="24"/>
          <w:szCs w:val="24"/>
          <w:lang w:val="de-DE"/>
        </w:rPr>
      </w:pPr>
      <w:hyperlink w:anchor="_Toc116923149" w:history="1">
        <w:r w:rsidR="00EB73CB" w:rsidRPr="006A08E6">
          <w:rPr>
            <w:rStyle w:val="Hyperlink"/>
            <w:rFonts w:ascii="Arial" w:hAnsi="Arial" w:cs="Arial"/>
            <w:noProof/>
            <w:color w:val="E36C0A" w:themeColor="accent6" w:themeShade="BF"/>
            <w:sz w:val="24"/>
            <w:szCs w:val="24"/>
          </w:rPr>
          <w:t>Steuertipps für Arbeitgeber &amp; Mitarbeiter</w:t>
        </w:r>
        <w:r w:rsidR="00EB73CB" w:rsidRPr="006A08E6">
          <w:rPr>
            <w:rFonts w:ascii="Arial" w:hAnsi="Arial" w:cs="Arial"/>
            <w:noProof/>
            <w:webHidden/>
            <w:color w:val="E36C0A" w:themeColor="accent6" w:themeShade="BF"/>
            <w:sz w:val="24"/>
            <w:szCs w:val="24"/>
          </w:rPr>
          <w:tab/>
        </w:r>
        <w:r w:rsidR="00EB73CB" w:rsidRPr="006A08E6">
          <w:rPr>
            <w:rFonts w:ascii="Arial" w:hAnsi="Arial" w:cs="Arial"/>
            <w:noProof/>
            <w:webHidden/>
            <w:color w:val="E36C0A" w:themeColor="accent6" w:themeShade="BF"/>
            <w:sz w:val="24"/>
            <w:szCs w:val="24"/>
          </w:rPr>
          <w:fldChar w:fldCharType="begin"/>
        </w:r>
        <w:r w:rsidR="00EB73CB" w:rsidRPr="006A08E6">
          <w:rPr>
            <w:rFonts w:ascii="Arial" w:hAnsi="Arial" w:cs="Arial"/>
            <w:noProof/>
            <w:webHidden/>
            <w:color w:val="E36C0A" w:themeColor="accent6" w:themeShade="BF"/>
            <w:sz w:val="24"/>
            <w:szCs w:val="24"/>
          </w:rPr>
          <w:instrText xml:space="preserve"> PAGEREF _Toc116923149 \h </w:instrText>
        </w:r>
        <w:r w:rsidR="00EB73CB" w:rsidRPr="006A08E6">
          <w:rPr>
            <w:rFonts w:ascii="Arial" w:hAnsi="Arial" w:cs="Arial"/>
            <w:noProof/>
            <w:webHidden/>
            <w:color w:val="E36C0A" w:themeColor="accent6" w:themeShade="BF"/>
            <w:sz w:val="24"/>
            <w:szCs w:val="24"/>
          </w:rPr>
        </w:r>
        <w:r w:rsidR="00EB73CB" w:rsidRPr="006A08E6">
          <w:rPr>
            <w:rFonts w:ascii="Arial" w:hAnsi="Arial" w:cs="Arial"/>
            <w:noProof/>
            <w:webHidden/>
            <w:color w:val="E36C0A" w:themeColor="accent6" w:themeShade="BF"/>
            <w:sz w:val="24"/>
            <w:szCs w:val="24"/>
          </w:rPr>
          <w:fldChar w:fldCharType="separate"/>
        </w:r>
        <w:r w:rsidR="003A7CEA">
          <w:rPr>
            <w:rFonts w:ascii="Arial" w:hAnsi="Arial" w:cs="Arial"/>
            <w:noProof/>
            <w:webHidden/>
            <w:color w:val="E36C0A" w:themeColor="accent6" w:themeShade="BF"/>
            <w:sz w:val="24"/>
            <w:szCs w:val="24"/>
          </w:rPr>
          <w:t>12</w:t>
        </w:r>
        <w:r w:rsidR="00EB73CB" w:rsidRPr="006A08E6">
          <w:rPr>
            <w:rFonts w:ascii="Arial" w:hAnsi="Arial" w:cs="Arial"/>
            <w:noProof/>
            <w:webHidden/>
            <w:color w:val="E36C0A" w:themeColor="accent6" w:themeShade="BF"/>
            <w:sz w:val="24"/>
            <w:szCs w:val="24"/>
          </w:rPr>
          <w:fldChar w:fldCharType="end"/>
        </w:r>
      </w:hyperlink>
    </w:p>
    <w:p w:rsidR="00EB73CB" w:rsidRPr="00EB73CB" w:rsidRDefault="006A08E6" w:rsidP="00752662">
      <w:pPr>
        <w:pStyle w:val="Verzeichnis1"/>
        <w:tabs>
          <w:tab w:val="left" w:pos="567"/>
          <w:tab w:val="right" w:leader="dot" w:pos="9204"/>
        </w:tabs>
        <w:spacing w:line="276" w:lineRule="auto"/>
        <w:ind w:left="426" w:hanging="426"/>
        <w:rPr>
          <w:rFonts w:ascii="Arial" w:eastAsiaTheme="minorEastAsia" w:hAnsi="Arial" w:cs="Arial"/>
          <w:b w:val="0"/>
          <w:bCs w:val="0"/>
          <w:caps w:val="0"/>
          <w:noProof/>
          <w:sz w:val="24"/>
          <w:szCs w:val="24"/>
          <w:lang w:val="de-DE"/>
        </w:rPr>
      </w:pPr>
      <w:r w:rsidRPr="006A08E6">
        <w:rPr>
          <w:rStyle w:val="Hyperlink"/>
          <w:rFonts w:ascii="Arial" w:hAnsi="Arial" w:cs="Arial"/>
          <w:b w:val="0"/>
          <w:bCs w:val="0"/>
          <w:noProof/>
          <w:color w:val="auto"/>
          <w:sz w:val="24"/>
          <w:szCs w:val="24"/>
          <w:u w:val="none"/>
        </w:rPr>
        <w:sym w:font="Wingdings" w:char="F070"/>
      </w:r>
      <w:r>
        <w:rPr>
          <w:rStyle w:val="Hyperlink"/>
          <w:rFonts w:ascii="Arial" w:hAnsi="Arial" w:cs="Arial"/>
          <w:b w:val="0"/>
          <w:bCs w:val="0"/>
          <w:noProof/>
          <w:color w:val="auto"/>
          <w:sz w:val="24"/>
          <w:szCs w:val="24"/>
          <w:u w:val="none"/>
        </w:rPr>
        <w:t xml:space="preserve"> </w:t>
      </w:r>
      <w:hyperlink w:anchor="_Toc116923150" w:history="1">
        <w:r w:rsidR="00EB73CB" w:rsidRPr="00EB73CB">
          <w:rPr>
            <w:rStyle w:val="Hyperlink"/>
            <w:rFonts w:ascii="Arial" w:hAnsi="Arial" w:cs="Arial"/>
            <w:noProof/>
            <w:color w:val="auto"/>
            <w:sz w:val="24"/>
            <w:szCs w:val="24"/>
          </w:rPr>
          <w:t>1</w:t>
        </w:r>
        <w:r w:rsidR="00752662">
          <w:rPr>
            <w:rStyle w:val="Hyperlink"/>
            <w:rFonts w:ascii="Arial" w:hAnsi="Arial" w:cs="Arial"/>
            <w:noProof/>
            <w:color w:val="auto"/>
            <w:sz w:val="24"/>
            <w:szCs w:val="24"/>
          </w:rPr>
          <w:tab/>
        </w:r>
        <w:r w:rsidR="00752662">
          <w:rPr>
            <w:rStyle w:val="Hyperlink"/>
            <w:rFonts w:ascii="Arial" w:hAnsi="Arial" w:cs="Arial"/>
            <w:noProof/>
            <w:color w:val="auto"/>
            <w:sz w:val="24"/>
            <w:szCs w:val="24"/>
          </w:rPr>
          <w:tab/>
        </w:r>
        <w:r w:rsidR="00EB73CB" w:rsidRPr="00EB73CB">
          <w:rPr>
            <w:rStyle w:val="Hyperlink"/>
            <w:rFonts w:ascii="Arial" w:hAnsi="Arial" w:cs="Arial"/>
            <w:noProof/>
            <w:color w:val="auto"/>
            <w:sz w:val="24"/>
            <w:szCs w:val="24"/>
          </w:rPr>
          <w:t>OPTIMALE AUSNUTZUNG DES JAHRESSECHSTELS</w:t>
        </w:r>
        <w:r w:rsidR="00EB73CB" w:rsidRPr="00EB73CB">
          <w:rPr>
            <w:rFonts w:ascii="Arial" w:hAnsi="Arial" w:cs="Arial"/>
            <w:noProof/>
            <w:webHidden/>
            <w:sz w:val="24"/>
            <w:szCs w:val="24"/>
          </w:rPr>
          <w:tab/>
        </w:r>
        <w:r w:rsidR="00EB73CB" w:rsidRPr="00EB73CB">
          <w:rPr>
            <w:rFonts w:ascii="Arial" w:hAnsi="Arial" w:cs="Arial"/>
            <w:noProof/>
            <w:webHidden/>
            <w:sz w:val="24"/>
            <w:szCs w:val="24"/>
          </w:rPr>
          <w:fldChar w:fldCharType="begin"/>
        </w:r>
        <w:r w:rsidR="00EB73CB" w:rsidRPr="00EB73CB">
          <w:rPr>
            <w:rFonts w:ascii="Arial" w:hAnsi="Arial" w:cs="Arial"/>
            <w:noProof/>
            <w:webHidden/>
            <w:sz w:val="24"/>
            <w:szCs w:val="24"/>
          </w:rPr>
          <w:instrText xml:space="preserve"> PAGEREF _Toc116923150 \h </w:instrText>
        </w:r>
        <w:r w:rsidR="00EB73CB" w:rsidRPr="00EB73CB">
          <w:rPr>
            <w:rFonts w:ascii="Arial" w:hAnsi="Arial" w:cs="Arial"/>
            <w:noProof/>
            <w:webHidden/>
            <w:sz w:val="24"/>
            <w:szCs w:val="24"/>
          </w:rPr>
        </w:r>
        <w:r w:rsidR="00EB73CB" w:rsidRPr="00EB73CB">
          <w:rPr>
            <w:rFonts w:ascii="Arial" w:hAnsi="Arial" w:cs="Arial"/>
            <w:noProof/>
            <w:webHidden/>
            <w:sz w:val="24"/>
            <w:szCs w:val="24"/>
          </w:rPr>
          <w:fldChar w:fldCharType="separate"/>
        </w:r>
        <w:r w:rsidR="003A7CEA">
          <w:rPr>
            <w:rFonts w:ascii="Arial" w:hAnsi="Arial" w:cs="Arial"/>
            <w:noProof/>
            <w:webHidden/>
            <w:sz w:val="24"/>
            <w:szCs w:val="24"/>
          </w:rPr>
          <w:t>12</w:t>
        </w:r>
        <w:r w:rsidR="00EB73CB" w:rsidRPr="00EB73CB">
          <w:rPr>
            <w:rFonts w:ascii="Arial" w:hAnsi="Arial" w:cs="Arial"/>
            <w:noProof/>
            <w:webHidden/>
            <w:sz w:val="24"/>
            <w:szCs w:val="24"/>
          </w:rPr>
          <w:fldChar w:fldCharType="end"/>
        </w:r>
      </w:hyperlink>
    </w:p>
    <w:p w:rsidR="00EB73CB" w:rsidRPr="00EB73CB" w:rsidRDefault="006A08E6" w:rsidP="00752662">
      <w:pPr>
        <w:pStyle w:val="Verzeichnis1"/>
        <w:tabs>
          <w:tab w:val="left" w:pos="567"/>
          <w:tab w:val="right" w:leader="dot" w:pos="9204"/>
        </w:tabs>
        <w:spacing w:line="276" w:lineRule="auto"/>
        <w:ind w:left="426" w:hanging="426"/>
        <w:rPr>
          <w:rFonts w:ascii="Arial" w:eastAsiaTheme="minorEastAsia" w:hAnsi="Arial" w:cs="Arial"/>
          <w:b w:val="0"/>
          <w:bCs w:val="0"/>
          <w:caps w:val="0"/>
          <w:noProof/>
          <w:sz w:val="24"/>
          <w:szCs w:val="24"/>
          <w:lang w:val="de-DE"/>
        </w:rPr>
      </w:pPr>
      <w:r w:rsidRPr="006A08E6">
        <w:rPr>
          <w:rStyle w:val="Hyperlink"/>
          <w:rFonts w:ascii="Arial" w:hAnsi="Arial" w:cs="Arial"/>
          <w:b w:val="0"/>
          <w:bCs w:val="0"/>
          <w:noProof/>
          <w:color w:val="auto"/>
          <w:sz w:val="24"/>
          <w:szCs w:val="24"/>
          <w:u w:val="none"/>
        </w:rPr>
        <w:sym w:font="Wingdings" w:char="F070"/>
      </w:r>
      <w:r>
        <w:rPr>
          <w:rStyle w:val="Hyperlink"/>
          <w:rFonts w:ascii="Arial" w:hAnsi="Arial" w:cs="Arial"/>
          <w:b w:val="0"/>
          <w:bCs w:val="0"/>
          <w:noProof/>
          <w:color w:val="auto"/>
          <w:sz w:val="24"/>
          <w:szCs w:val="24"/>
          <w:u w:val="none"/>
        </w:rPr>
        <w:t xml:space="preserve"> </w:t>
      </w:r>
      <w:hyperlink w:anchor="_Toc116923151" w:history="1">
        <w:r w:rsidR="00EB73CB" w:rsidRPr="00EB73CB">
          <w:rPr>
            <w:rStyle w:val="Hyperlink"/>
            <w:rFonts w:ascii="Arial" w:hAnsi="Arial" w:cs="Arial"/>
            <w:noProof/>
            <w:color w:val="auto"/>
            <w:sz w:val="24"/>
            <w:szCs w:val="24"/>
          </w:rPr>
          <w:t>2</w:t>
        </w:r>
        <w:r w:rsidR="00752662">
          <w:rPr>
            <w:rStyle w:val="Hyperlink"/>
            <w:rFonts w:ascii="Arial" w:hAnsi="Arial" w:cs="Arial"/>
            <w:noProof/>
            <w:color w:val="auto"/>
            <w:sz w:val="24"/>
            <w:szCs w:val="24"/>
          </w:rPr>
          <w:t xml:space="preserve"> </w:t>
        </w:r>
        <w:r w:rsidR="00EB73CB" w:rsidRPr="00EB73CB">
          <w:rPr>
            <w:rFonts w:ascii="Arial" w:eastAsiaTheme="minorEastAsia" w:hAnsi="Arial" w:cs="Arial"/>
            <w:b w:val="0"/>
            <w:bCs w:val="0"/>
            <w:caps w:val="0"/>
            <w:noProof/>
            <w:sz w:val="24"/>
            <w:szCs w:val="24"/>
            <w:lang w:val="de-DE"/>
          </w:rPr>
          <w:tab/>
        </w:r>
        <w:r w:rsidR="00EB73CB" w:rsidRPr="00EB73CB">
          <w:rPr>
            <w:rStyle w:val="Hyperlink"/>
            <w:rFonts w:ascii="Arial" w:hAnsi="Arial" w:cs="Arial"/>
            <w:noProof/>
            <w:color w:val="auto"/>
            <w:sz w:val="24"/>
            <w:szCs w:val="24"/>
          </w:rPr>
          <w:t>ZUKUNFTSSICHERUNG FÜR DIENSTNEHMER BIS € 300 STEUERFREI</w:t>
        </w:r>
        <w:r w:rsidR="00EB73CB" w:rsidRPr="00EB73CB">
          <w:rPr>
            <w:rFonts w:ascii="Arial" w:hAnsi="Arial" w:cs="Arial"/>
            <w:noProof/>
            <w:webHidden/>
            <w:sz w:val="24"/>
            <w:szCs w:val="24"/>
          </w:rPr>
          <w:tab/>
        </w:r>
        <w:r w:rsidR="00EB73CB" w:rsidRPr="00EB73CB">
          <w:rPr>
            <w:rFonts w:ascii="Arial" w:hAnsi="Arial" w:cs="Arial"/>
            <w:noProof/>
            <w:webHidden/>
            <w:sz w:val="24"/>
            <w:szCs w:val="24"/>
          </w:rPr>
          <w:fldChar w:fldCharType="begin"/>
        </w:r>
        <w:r w:rsidR="00EB73CB" w:rsidRPr="00EB73CB">
          <w:rPr>
            <w:rFonts w:ascii="Arial" w:hAnsi="Arial" w:cs="Arial"/>
            <w:noProof/>
            <w:webHidden/>
            <w:sz w:val="24"/>
            <w:szCs w:val="24"/>
          </w:rPr>
          <w:instrText xml:space="preserve"> PAGEREF _Toc116923151 \h </w:instrText>
        </w:r>
        <w:r w:rsidR="00EB73CB" w:rsidRPr="00EB73CB">
          <w:rPr>
            <w:rFonts w:ascii="Arial" w:hAnsi="Arial" w:cs="Arial"/>
            <w:noProof/>
            <w:webHidden/>
            <w:sz w:val="24"/>
            <w:szCs w:val="24"/>
          </w:rPr>
        </w:r>
        <w:r w:rsidR="00EB73CB" w:rsidRPr="00EB73CB">
          <w:rPr>
            <w:rFonts w:ascii="Arial" w:hAnsi="Arial" w:cs="Arial"/>
            <w:noProof/>
            <w:webHidden/>
            <w:sz w:val="24"/>
            <w:szCs w:val="24"/>
          </w:rPr>
          <w:fldChar w:fldCharType="separate"/>
        </w:r>
        <w:r w:rsidR="003A7CEA">
          <w:rPr>
            <w:rFonts w:ascii="Arial" w:hAnsi="Arial" w:cs="Arial"/>
            <w:noProof/>
            <w:webHidden/>
            <w:sz w:val="24"/>
            <w:szCs w:val="24"/>
          </w:rPr>
          <w:t>12</w:t>
        </w:r>
        <w:r w:rsidR="00EB73CB" w:rsidRPr="00EB73CB">
          <w:rPr>
            <w:rFonts w:ascii="Arial" w:hAnsi="Arial" w:cs="Arial"/>
            <w:noProof/>
            <w:webHidden/>
            <w:sz w:val="24"/>
            <w:szCs w:val="24"/>
          </w:rPr>
          <w:fldChar w:fldCharType="end"/>
        </w:r>
      </w:hyperlink>
    </w:p>
    <w:p w:rsidR="00EB73CB" w:rsidRPr="00EB73CB" w:rsidRDefault="006A08E6" w:rsidP="00752662">
      <w:pPr>
        <w:pStyle w:val="Verzeichnis1"/>
        <w:tabs>
          <w:tab w:val="left" w:pos="567"/>
          <w:tab w:val="right" w:leader="dot" w:pos="9204"/>
        </w:tabs>
        <w:spacing w:line="276" w:lineRule="auto"/>
        <w:ind w:left="426" w:hanging="426"/>
        <w:rPr>
          <w:rFonts w:ascii="Arial" w:eastAsiaTheme="minorEastAsia" w:hAnsi="Arial" w:cs="Arial"/>
          <w:b w:val="0"/>
          <w:bCs w:val="0"/>
          <w:caps w:val="0"/>
          <w:noProof/>
          <w:sz w:val="24"/>
          <w:szCs w:val="24"/>
          <w:lang w:val="de-DE"/>
        </w:rPr>
      </w:pPr>
      <w:r w:rsidRPr="006A08E6">
        <w:rPr>
          <w:rStyle w:val="Hyperlink"/>
          <w:rFonts w:ascii="Arial" w:hAnsi="Arial" w:cs="Arial"/>
          <w:b w:val="0"/>
          <w:bCs w:val="0"/>
          <w:noProof/>
          <w:color w:val="auto"/>
          <w:sz w:val="24"/>
          <w:szCs w:val="24"/>
          <w:u w:val="none"/>
        </w:rPr>
        <w:sym w:font="Wingdings" w:char="F070"/>
      </w:r>
      <w:r>
        <w:rPr>
          <w:rStyle w:val="Hyperlink"/>
          <w:rFonts w:ascii="Arial" w:hAnsi="Arial" w:cs="Arial"/>
          <w:b w:val="0"/>
          <w:bCs w:val="0"/>
          <w:noProof/>
          <w:color w:val="auto"/>
          <w:sz w:val="24"/>
          <w:szCs w:val="24"/>
          <w:u w:val="none"/>
        </w:rPr>
        <w:t xml:space="preserve"> </w:t>
      </w:r>
      <w:hyperlink w:anchor="_Toc116923152" w:history="1">
        <w:r w:rsidR="00EB73CB" w:rsidRPr="00EB73CB">
          <w:rPr>
            <w:rStyle w:val="Hyperlink"/>
            <w:rFonts w:ascii="Arial" w:hAnsi="Arial" w:cs="Arial"/>
            <w:noProof/>
            <w:color w:val="auto"/>
            <w:sz w:val="24"/>
            <w:szCs w:val="24"/>
          </w:rPr>
          <w:t>3</w:t>
        </w:r>
        <w:r w:rsidR="00EB73CB" w:rsidRPr="00EB73CB">
          <w:rPr>
            <w:rFonts w:ascii="Arial" w:eastAsiaTheme="minorEastAsia" w:hAnsi="Arial" w:cs="Arial"/>
            <w:b w:val="0"/>
            <w:bCs w:val="0"/>
            <w:caps w:val="0"/>
            <w:noProof/>
            <w:sz w:val="24"/>
            <w:szCs w:val="24"/>
            <w:lang w:val="de-DE"/>
          </w:rPr>
          <w:tab/>
        </w:r>
        <w:r w:rsidR="00752662">
          <w:rPr>
            <w:rFonts w:ascii="Arial" w:eastAsiaTheme="minorEastAsia" w:hAnsi="Arial" w:cs="Arial"/>
            <w:b w:val="0"/>
            <w:bCs w:val="0"/>
            <w:caps w:val="0"/>
            <w:noProof/>
            <w:sz w:val="24"/>
            <w:szCs w:val="24"/>
            <w:lang w:val="de-DE"/>
          </w:rPr>
          <w:tab/>
        </w:r>
        <w:r w:rsidR="00EB73CB" w:rsidRPr="00EB73CB">
          <w:rPr>
            <w:rStyle w:val="Hyperlink"/>
            <w:rFonts w:ascii="Arial" w:hAnsi="Arial" w:cs="Arial"/>
            <w:noProof/>
            <w:color w:val="auto"/>
            <w:sz w:val="24"/>
            <w:szCs w:val="24"/>
          </w:rPr>
          <w:t>MITARBEITERBETEILIGUNGEN UND TEUERUNGSPRÄMIE</w:t>
        </w:r>
        <w:r w:rsidR="00EB73CB" w:rsidRPr="00EB73CB">
          <w:rPr>
            <w:rFonts w:ascii="Arial" w:hAnsi="Arial" w:cs="Arial"/>
            <w:noProof/>
            <w:webHidden/>
            <w:sz w:val="24"/>
            <w:szCs w:val="24"/>
          </w:rPr>
          <w:tab/>
        </w:r>
        <w:r w:rsidR="00EB73CB" w:rsidRPr="00EB73CB">
          <w:rPr>
            <w:rFonts w:ascii="Arial" w:hAnsi="Arial" w:cs="Arial"/>
            <w:noProof/>
            <w:webHidden/>
            <w:sz w:val="24"/>
            <w:szCs w:val="24"/>
          </w:rPr>
          <w:fldChar w:fldCharType="begin"/>
        </w:r>
        <w:r w:rsidR="00EB73CB" w:rsidRPr="00EB73CB">
          <w:rPr>
            <w:rFonts w:ascii="Arial" w:hAnsi="Arial" w:cs="Arial"/>
            <w:noProof/>
            <w:webHidden/>
            <w:sz w:val="24"/>
            <w:szCs w:val="24"/>
          </w:rPr>
          <w:instrText xml:space="preserve"> PAGEREF _Toc116923152 \h </w:instrText>
        </w:r>
        <w:r w:rsidR="00EB73CB" w:rsidRPr="00EB73CB">
          <w:rPr>
            <w:rFonts w:ascii="Arial" w:hAnsi="Arial" w:cs="Arial"/>
            <w:noProof/>
            <w:webHidden/>
            <w:sz w:val="24"/>
            <w:szCs w:val="24"/>
          </w:rPr>
        </w:r>
        <w:r w:rsidR="00EB73CB" w:rsidRPr="00EB73CB">
          <w:rPr>
            <w:rFonts w:ascii="Arial" w:hAnsi="Arial" w:cs="Arial"/>
            <w:noProof/>
            <w:webHidden/>
            <w:sz w:val="24"/>
            <w:szCs w:val="24"/>
          </w:rPr>
          <w:fldChar w:fldCharType="separate"/>
        </w:r>
        <w:r w:rsidR="003A7CEA">
          <w:rPr>
            <w:rFonts w:ascii="Arial" w:hAnsi="Arial" w:cs="Arial"/>
            <w:noProof/>
            <w:webHidden/>
            <w:sz w:val="24"/>
            <w:szCs w:val="24"/>
          </w:rPr>
          <w:t>12</w:t>
        </w:r>
        <w:r w:rsidR="00EB73CB" w:rsidRPr="00EB73CB">
          <w:rPr>
            <w:rFonts w:ascii="Arial" w:hAnsi="Arial" w:cs="Arial"/>
            <w:noProof/>
            <w:webHidden/>
            <w:sz w:val="24"/>
            <w:szCs w:val="24"/>
          </w:rPr>
          <w:fldChar w:fldCharType="end"/>
        </w:r>
      </w:hyperlink>
    </w:p>
    <w:p w:rsidR="00EB73CB" w:rsidRPr="00EB73CB" w:rsidRDefault="006A08E6" w:rsidP="00752662">
      <w:pPr>
        <w:pStyle w:val="Verzeichnis1"/>
        <w:tabs>
          <w:tab w:val="left" w:pos="567"/>
          <w:tab w:val="right" w:leader="dot" w:pos="9204"/>
        </w:tabs>
        <w:spacing w:line="276" w:lineRule="auto"/>
        <w:ind w:left="426" w:hanging="426"/>
        <w:rPr>
          <w:rFonts w:ascii="Arial" w:eastAsiaTheme="minorEastAsia" w:hAnsi="Arial" w:cs="Arial"/>
          <w:b w:val="0"/>
          <w:bCs w:val="0"/>
          <w:caps w:val="0"/>
          <w:noProof/>
          <w:sz w:val="24"/>
          <w:szCs w:val="24"/>
          <w:lang w:val="de-DE"/>
        </w:rPr>
      </w:pPr>
      <w:r w:rsidRPr="006A08E6">
        <w:rPr>
          <w:rStyle w:val="Hyperlink"/>
          <w:rFonts w:ascii="Arial" w:hAnsi="Arial" w:cs="Arial"/>
          <w:b w:val="0"/>
          <w:bCs w:val="0"/>
          <w:noProof/>
          <w:color w:val="auto"/>
          <w:sz w:val="24"/>
          <w:szCs w:val="24"/>
          <w:u w:val="none"/>
        </w:rPr>
        <w:sym w:font="Wingdings" w:char="F070"/>
      </w:r>
      <w:r>
        <w:rPr>
          <w:rStyle w:val="Hyperlink"/>
          <w:rFonts w:ascii="Arial" w:hAnsi="Arial" w:cs="Arial"/>
          <w:b w:val="0"/>
          <w:bCs w:val="0"/>
          <w:noProof/>
          <w:color w:val="auto"/>
          <w:sz w:val="24"/>
          <w:szCs w:val="24"/>
          <w:u w:val="none"/>
        </w:rPr>
        <w:t xml:space="preserve"> </w:t>
      </w:r>
      <w:hyperlink w:anchor="_Toc116923153" w:history="1">
        <w:r w:rsidR="00EB73CB" w:rsidRPr="00EB73CB">
          <w:rPr>
            <w:rStyle w:val="Hyperlink"/>
            <w:rFonts w:ascii="Arial" w:hAnsi="Arial" w:cs="Arial"/>
            <w:noProof/>
            <w:color w:val="auto"/>
            <w:sz w:val="24"/>
            <w:szCs w:val="24"/>
          </w:rPr>
          <w:t>4</w:t>
        </w:r>
        <w:r w:rsidR="00EB73CB" w:rsidRPr="00EB73CB">
          <w:rPr>
            <w:rFonts w:ascii="Arial" w:eastAsiaTheme="minorEastAsia" w:hAnsi="Arial" w:cs="Arial"/>
            <w:b w:val="0"/>
            <w:bCs w:val="0"/>
            <w:caps w:val="0"/>
            <w:noProof/>
            <w:sz w:val="24"/>
            <w:szCs w:val="24"/>
            <w:lang w:val="de-DE"/>
          </w:rPr>
          <w:tab/>
        </w:r>
        <w:r w:rsidR="00752662">
          <w:rPr>
            <w:rFonts w:ascii="Arial" w:eastAsiaTheme="minorEastAsia" w:hAnsi="Arial" w:cs="Arial"/>
            <w:b w:val="0"/>
            <w:bCs w:val="0"/>
            <w:caps w:val="0"/>
            <w:noProof/>
            <w:sz w:val="24"/>
            <w:szCs w:val="24"/>
            <w:lang w:val="de-DE"/>
          </w:rPr>
          <w:tab/>
        </w:r>
        <w:r w:rsidR="00EB73CB" w:rsidRPr="00EB73CB">
          <w:rPr>
            <w:rStyle w:val="Hyperlink"/>
            <w:rFonts w:ascii="Arial" w:hAnsi="Arial" w:cs="Arial"/>
            <w:noProof/>
            <w:color w:val="auto"/>
            <w:sz w:val="24"/>
            <w:szCs w:val="24"/>
          </w:rPr>
          <w:t>WEIHNACHTSGESCHENKE BIS € 186 STEUERFREI</w:t>
        </w:r>
        <w:r w:rsidR="00EB73CB" w:rsidRPr="00EB73CB">
          <w:rPr>
            <w:rFonts w:ascii="Arial" w:hAnsi="Arial" w:cs="Arial"/>
            <w:noProof/>
            <w:webHidden/>
            <w:sz w:val="24"/>
            <w:szCs w:val="24"/>
          </w:rPr>
          <w:tab/>
        </w:r>
        <w:r w:rsidR="00EB73CB" w:rsidRPr="00EB73CB">
          <w:rPr>
            <w:rFonts w:ascii="Arial" w:hAnsi="Arial" w:cs="Arial"/>
            <w:noProof/>
            <w:webHidden/>
            <w:sz w:val="24"/>
            <w:szCs w:val="24"/>
          </w:rPr>
          <w:fldChar w:fldCharType="begin"/>
        </w:r>
        <w:r w:rsidR="00EB73CB" w:rsidRPr="00EB73CB">
          <w:rPr>
            <w:rFonts w:ascii="Arial" w:hAnsi="Arial" w:cs="Arial"/>
            <w:noProof/>
            <w:webHidden/>
            <w:sz w:val="24"/>
            <w:szCs w:val="24"/>
          </w:rPr>
          <w:instrText xml:space="preserve"> PAGEREF _Toc116923153 \h </w:instrText>
        </w:r>
        <w:r w:rsidR="00EB73CB" w:rsidRPr="00EB73CB">
          <w:rPr>
            <w:rFonts w:ascii="Arial" w:hAnsi="Arial" w:cs="Arial"/>
            <w:noProof/>
            <w:webHidden/>
            <w:sz w:val="24"/>
            <w:szCs w:val="24"/>
          </w:rPr>
        </w:r>
        <w:r w:rsidR="00EB73CB" w:rsidRPr="00EB73CB">
          <w:rPr>
            <w:rFonts w:ascii="Arial" w:hAnsi="Arial" w:cs="Arial"/>
            <w:noProof/>
            <w:webHidden/>
            <w:sz w:val="24"/>
            <w:szCs w:val="24"/>
          </w:rPr>
          <w:fldChar w:fldCharType="separate"/>
        </w:r>
        <w:r w:rsidR="003A7CEA">
          <w:rPr>
            <w:rFonts w:ascii="Arial" w:hAnsi="Arial" w:cs="Arial"/>
            <w:noProof/>
            <w:webHidden/>
            <w:sz w:val="24"/>
            <w:szCs w:val="24"/>
          </w:rPr>
          <w:t>13</w:t>
        </w:r>
        <w:r w:rsidR="00EB73CB" w:rsidRPr="00EB73CB">
          <w:rPr>
            <w:rFonts w:ascii="Arial" w:hAnsi="Arial" w:cs="Arial"/>
            <w:noProof/>
            <w:webHidden/>
            <w:sz w:val="24"/>
            <w:szCs w:val="24"/>
          </w:rPr>
          <w:fldChar w:fldCharType="end"/>
        </w:r>
      </w:hyperlink>
    </w:p>
    <w:p w:rsidR="00EB73CB" w:rsidRPr="00EB73CB" w:rsidRDefault="006A08E6" w:rsidP="00752662">
      <w:pPr>
        <w:pStyle w:val="Verzeichnis1"/>
        <w:tabs>
          <w:tab w:val="left" w:pos="567"/>
          <w:tab w:val="right" w:leader="dot" w:pos="9204"/>
        </w:tabs>
        <w:spacing w:line="276" w:lineRule="auto"/>
        <w:ind w:left="426" w:hanging="426"/>
        <w:rPr>
          <w:rFonts w:ascii="Arial" w:eastAsiaTheme="minorEastAsia" w:hAnsi="Arial" w:cs="Arial"/>
          <w:b w:val="0"/>
          <w:bCs w:val="0"/>
          <w:caps w:val="0"/>
          <w:noProof/>
          <w:sz w:val="24"/>
          <w:szCs w:val="24"/>
          <w:lang w:val="de-DE"/>
        </w:rPr>
      </w:pPr>
      <w:r w:rsidRPr="006A08E6">
        <w:rPr>
          <w:rStyle w:val="Hyperlink"/>
          <w:rFonts w:ascii="Arial" w:hAnsi="Arial" w:cs="Arial"/>
          <w:b w:val="0"/>
          <w:bCs w:val="0"/>
          <w:noProof/>
          <w:color w:val="auto"/>
          <w:sz w:val="24"/>
          <w:szCs w:val="24"/>
          <w:u w:val="none"/>
        </w:rPr>
        <w:sym w:font="Wingdings" w:char="F070"/>
      </w:r>
      <w:r>
        <w:rPr>
          <w:rStyle w:val="Hyperlink"/>
          <w:rFonts w:ascii="Arial" w:hAnsi="Arial" w:cs="Arial"/>
          <w:b w:val="0"/>
          <w:bCs w:val="0"/>
          <w:noProof/>
          <w:color w:val="auto"/>
          <w:sz w:val="24"/>
          <w:szCs w:val="24"/>
          <w:u w:val="none"/>
        </w:rPr>
        <w:t xml:space="preserve"> </w:t>
      </w:r>
      <w:hyperlink w:anchor="_Toc116923154" w:history="1">
        <w:r w:rsidR="00EB73CB" w:rsidRPr="00EB73CB">
          <w:rPr>
            <w:rStyle w:val="Hyperlink"/>
            <w:rFonts w:ascii="Arial" w:hAnsi="Arial" w:cs="Arial"/>
            <w:noProof/>
            <w:color w:val="auto"/>
            <w:sz w:val="24"/>
            <w:szCs w:val="24"/>
          </w:rPr>
          <w:t>5</w:t>
        </w:r>
        <w:r w:rsidR="00EB73CB" w:rsidRPr="00EB73CB">
          <w:rPr>
            <w:rFonts w:ascii="Arial" w:eastAsiaTheme="minorEastAsia" w:hAnsi="Arial" w:cs="Arial"/>
            <w:b w:val="0"/>
            <w:bCs w:val="0"/>
            <w:caps w:val="0"/>
            <w:noProof/>
            <w:sz w:val="24"/>
            <w:szCs w:val="24"/>
            <w:lang w:val="de-DE"/>
          </w:rPr>
          <w:tab/>
        </w:r>
        <w:r w:rsidR="00752662">
          <w:rPr>
            <w:rFonts w:ascii="Arial" w:eastAsiaTheme="minorEastAsia" w:hAnsi="Arial" w:cs="Arial"/>
            <w:b w:val="0"/>
            <w:bCs w:val="0"/>
            <w:caps w:val="0"/>
            <w:noProof/>
            <w:sz w:val="24"/>
            <w:szCs w:val="24"/>
            <w:lang w:val="de-DE"/>
          </w:rPr>
          <w:tab/>
        </w:r>
        <w:r w:rsidR="00EB73CB" w:rsidRPr="00EB73CB">
          <w:rPr>
            <w:rStyle w:val="Hyperlink"/>
            <w:rFonts w:ascii="Arial" w:hAnsi="Arial" w:cs="Arial"/>
            <w:noProof/>
            <w:color w:val="auto"/>
            <w:sz w:val="24"/>
            <w:szCs w:val="24"/>
          </w:rPr>
          <w:t>BETRIEBSVERANSTALTUNGEN BIS € 365 STEUERFREI</w:t>
        </w:r>
        <w:r w:rsidR="00EB73CB" w:rsidRPr="00EB73CB">
          <w:rPr>
            <w:rFonts w:ascii="Arial" w:hAnsi="Arial" w:cs="Arial"/>
            <w:noProof/>
            <w:webHidden/>
            <w:sz w:val="24"/>
            <w:szCs w:val="24"/>
          </w:rPr>
          <w:tab/>
        </w:r>
        <w:r w:rsidR="00EB73CB" w:rsidRPr="00EB73CB">
          <w:rPr>
            <w:rFonts w:ascii="Arial" w:hAnsi="Arial" w:cs="Arial"/>
            <w:noProof/>
            <w:webHidden/>
            <w:sz w:val="24"/>
            <w:szCs w:val="24"/>
          </w:rPr>
          <w:fldChar w:fldCharType="begin"/>
        </w:r>
        <w:r w:rsidR="00EB73CB" w:rsidRPr="00EB73CB">
          <w:rPr>
            <w:rFonts w:ascii="Arial" w:hAnsi="Arial" w:cs="Arial"/>
            <w:noProof/>
            <w:webHidden/>
            <w:sz w:val="24"/>
            <w:szCs w:val="24"/>
          </w:rPr>
          <w:instrText xml:space="preserve"> PAGEREF _Toc116923154 \h </w:instrText>
        </w:r>
        <w:r w:rsidR="00EB73CB" w:rsidRPr="00EB73CB">
          <w:rPr>
            <w:rFonts w:ascii="Arial" w:hAnsi="Arial" w:cs="Arial"/>
            <w:noProof/>
            <w:webHidden/>
            <w:sz w:val="24"/>
            <w:szCs w:val="24"/>
          </w:rPr>
        </w:r>
        <w:r w:rsidR="00EB73CB" w:rsidRPr="00EB73CB">
          <w:rPr>
            <w:rFonts w:ascii="Arial" w:hAnsi="Arial" w:cs="Arial"/>
            <w:noProof/>
            <w:webHidden/>
            <w:sz w:val="24"/>
            <w:szCs w:val="24"/>
          </w:rPr>
          <w:fldChar w:fldCharType="separate"/>
        </w:r>
        <w:r w:rsidR="003A7CEA">
          <w:rPr>
            <w:rFonts w:ascii="Arial" w:hAnsi="Arial" w:cs="Arial"/>
            <w:noProof/>
            <w:webHidden/>
            <w:sz w:val="24"/>
            <w:szCs w:val="24"/>
          </w:rPr>
          <w:t>13</w:t>
        </w:r>
        <w:r w:rsidR="00EB73CB" w:rsidRPr="00EB73CB">
          <w:rPr>
            <w:rFonts w:ascii="Arial" w:hAnsi="Arial" w:cs="Arial"/>
            <w:noProof/>
            <w:webHidden/>
            <w:sz w:val="24"/>
            <w:szCs w:val="24"/>
          </w:rPr>
          <w:fldChar w:fldCharType="end"/>
        </w:r>
      </w:hyperlink>
    </w:p>
    <w:p w:rsidR="00EB73CB" w:rsidRPr="00EB73CB" w:rsidRDefault="006A08E6" w:rsidP="00752662">
      <w:pPr>
        <w:pStyle w:val="Verzeichnis1"/>
        <w:tabs>
          <w:tab w:val="left" w:pos="567"/>
          <w:tab w:val="right" w:leader="dot" w:pos="9204"/>
        </w:tabs>
        <w:spacing w:line="276" w:lineRule="auto"/>
        <w:ind w:left="567" w:hanging="567"/>
        <w:rPr>
          <w:rFonts w:ascii="Arial" w:eastAsiaTheme="minorEastAsia" w:hAnsi="Arial" w:cs="Arial"/>
          <w:b w:val="0"/>
          <w:bCs w:val="0"/>
          <w:caps w:val="0"/>
          <w:noProof/>
          <w:sz w:val="24"/>
          <w:szCs w:val="24"/>
          <w:lang w:val="de-DE"/>
        </w:rPr>
      </w:pPr>
      <w:r w:rsidRPr="006A08E6">
        <w:rPr>
          <w:rStyle w:val="Hyperlink"/>
          <w:rFonts w:ascii="Arial" w:hAnsi="Arial" w:cs="Arial"/>
          <w:b w:val="0"/>
          <w:bCs w:val="0"/>
          <w:noProof/>
          <w:color w:val="auto"/>
          <w:sz w:val="24"/>
          <w:szCs w:val="24"/>
          <w:u w:val="none"/>
        </w:rPr>
        <w:sym w:font="Wingdings" w:char="F070"/>
      </w:r>
      <w:r>
        <w:rPr>
          <w:rStyle w:val="Hyperlink"/>
          <w:rFonts w:ascii="Arial" w:hAnsi="Arial" w:cs="Arial"/>
          <w:b w:val="0"/>
          <w:bCs w:val="0"/>
          <w:noProof/>
          <w:color w:val="auto"/>
          <w:sz w:val="24"/>
          <w:szCs w:val="24"/>
          <w:u w:val="none"/>
        </w:rPr>
        <w:t xml:space="preserve"> </w:t>
      </w:r>
      <w:hyperlink w:anchor="_Toc116923155" w:history="1">
        <w:r w:rsidR="00EB73CB" w:rsidRPr="00EB73CB">
          <w:rPr>
            <w:rStyle w:val="Hyperlink"/>
            <w:rFonts w:ascii="Arial" w:hAnsi="Arial" w:cs="Arial"/>
            <w:noProof/>
            <w:color w:val="auto"/>
            <w:sz w:val="24"/>
            <w:szCs w:val="24"/>
          </w:rPr>
          <w:t>6</w:t>
        </w:r>
        <w:r w:rsidR="00EB73CB" w:rsidRPr="00EB73CB">
          <w:rPr>
            <w:rFonts w:ascii="Arial" w:eastAsiaTheme="minorEastAsia" w:hAnsi="Arial" w:cs="Arial"/>
            <w:b w:val="0"/>
            <w:bCs w:val="0"/>
            <w:caps w:val="0"/>
            <w:noProof/>
            <w:sz w:val="24"/>
            <w:szCs w:val="24"/>
            <w:lang w:val="de-DE"/>
          </w:rPr>
          <w:tab/>
        </w:r>
        <w:r w:rsidR="00EB73CB" w:rsidRPr="00EB73CB">
          <w:rPr>
            <w:rStyle w:val="Hyperlink"/>
            <w:rFonts w:ascii="Arial" w:hAnsi="Arial" w:cs="Arial"/>
            <w:noProof/>
            <w:color w:val="auto"/>
            <w:sz w:val="24"/>
            <w:szCs w:val="24"/>
          </w:rPr>
          <w:t>SACHZUWENDUNGEN ANLÄSSLICH EINES DIENST- ODER FIRMENJUBILÄUMS BIS € 186 STEUERFREI</w:t>
        </w:r>
        <w:r w:rsidR="00EB73CB" w:rsidRPr="00EB73CB">
          <w:rPr>
            <w:rFonts w:ascii="Arial" w:hAnsi="Arial" w:cs="Arial"/>
            <w:noProof/>
            <w:webHidden/>
            <w:sz w:val="24"/>
            <w:szCs w:val="24"/>
          </w:rPr>
          <w:tab/>
        </w:r>
        <w:r w:rsidR="00EB73CB" w:rsidRPr="00EB73CB">
          <w:rPr>
            <w:rFonts w:ascii="Arial" w:hAnsi="Arial" w:cs="Arial"/>
            <w:noProof/>
            <w:webHidden/>
            <w:sz w:val="24"/>
            <w:szCs w:val="24"/>
          </w:rPr>
          <w:fldChar w:fldCharType="begin"/>
        </w:r>
        <w:r w:rsidR="00EB73CB" w:rsidRPr="00EB73CB">
          <w:rPr>
            <w:rFonts w:ascii="Arial" w:hAnsi="Arial" w:cs="Arial"/>
            <w:noProof/>
            <w:webHidden/>
            <w:sz w:val="24"/>
            <w:szCs w:val="24"/>
          </w:rPr>
          <w:instrText xml:space="preserve"> PAGEREF _Toc116923155 \h </w:instrText>
        </w:r>
        <w:r w:rsidR="00EB73CB" w:rsidRPr="00EB73CB">
          <w:rPr>
            <w:rFonts w:ascii="Arial" w:hAnsi="Arial" w:cs="Arial"/>
            <w:noProof/>
            <w:webHidden/>
            <w:sz w:val="24"/>
            <w:szCs w:val="24"/>
          </w:rPr>
        </w:r>
        <w:r w:rsidR="00EB73CB" w:rsidRPr="00EB73CB">
          <w:rPr>
            <w:rFonts w:ascii="Arial" w:hAnsi="Arial" w:cs="Arial"/>
            <w:noProof/>
            <w:webHidden/>
            <w:sz w:val="24"/>
            <w:szCs w:val="24"/>
          </w:rPr>
          <w:fldChar w:fldCharType="separate"/>
        </w:r>
        <w:r w:rsidR="003A7CEA">
          <w:rPr>
            <w:rFonts w:ascii="Arial" w:hAnsi="Arial" w:cs="Arial"/>
            <w:noProof/>
            <w:webHidden/>
            <w:sz w:val="24"/>
            <w:szCs w:val="24"/>
          </w:rPr>
          <w:t>13</w:t>
        </w:r>
        <w:r w:rsidR="00EB73CB" w:rsidRPr="00EB73CB">
          <w:rPr>
            <w:rFonts w:ascii="Arial" w:hAnsi="Arial" w:cs="Arial"/>
            <w:noProof/>
            <w:webHidden/>
            <w:sz w:val="24"/>
            <w:szCs w:val="24"/>
          </w:rPr>
          <w:fldChar w:fldCharType="end"/>
        </w:r>
      </w:hyperlink>
    </w:p>
    <w:p w:rsidR="00EB73CB" w:rsidRPr="00EB73CB" w:rsidRDefault="006A08E6" w:rsidP="00752662">
      <w:pPr>
        <w:pStyle w:val="Verzeichnis2"/>
        <w:rPr>
          <w:rFonts w:eastAsiaTheme="minorEastAsia"/>
          <w:lang w:val="de-DE"/>
        </w:rPr>
      </w:pPr>
      <w:r w:rsidRPr="006A08E6">
        <w:rPr>
          <w:rStyle w:val="Hyperlink"/>
          <w:color w:val="auto"/>
          <w:u w:val="none"/>
        </w:rPr>
        <w:sym w:font="Wingdings" w:char="F070"/>
      </w:r>
      <w:r>
        <w:rPr>
          <w:rStyle w:val="Hyperlink"/>
          <w:b/>
          <w:bCs/>
          <w:color w:val="auto"/>
          <w:u w:val="none"/>
        </w:rPr>
        <w:t xml:space="preserve"> </w:t>
      </w:r>
      <w:hyperlink w:anchor="_Toc116923156" w:history="1">
        <w:r w:rsidR="00EB73CB" w:rsidRPr="00EB73CB">
          <w:rPr>
            <w:rStyle w:val="Hyperlink"/>
            <w:b/>
            <w:color w:val="auto"/>
            <w:kern w:val="28"/>
          </w:rPr>
          <w:t>7</w:t>
        </w:r>
        <w:r w:rsidR="00752662">
          <w:rPr>
            <w:rStyle w:val="Hyperlink"/>
            <w:b/>
            <w:color w:val="auto"/>
            <w:kern w:val="28"/>
          </w:rPr>
          <w:tab/>
        </w:r>
        <w:r w:rsidR="00EB73CB" w:rsidRPr="00EB73CB">
          <w:rPr>
            <w:rStyle w:val="Hyperlink"/>
            <w:b/>
            <w:bCs/>
            <w:color w:val="auto"/>
            <w:kern w:val="28"/>
          </w:rPr>
          <w:t>KINDERBETREUUNGSKOSTEN: € 1.000 ZUSCHUSS DES ARBEITGEBERS</w:t>
        </w:r>
        <w:r w:rsidR="00EB73CB" w:rsidRPr="00EB73CB">
          <w:rPr>
            <w:rStyle w:val="Hyperlink"/>
            <w:b/>
            <w:color w:val="auto"/>
            <w:kern w:val="28"/>
          </w:rPr>
          <w:t xml:space="preserve"> STEUERFREI</w:t>
        </w:r>
        <w:r w:rsidR="00EB73CB" w:rsidRPr="00EB73CB">
          <w:rPr>
            <w:webHidden/>
          </w:rPr>
          <w:tab/>
        </w:r>
        <w:r w:rsidR="00EB73CB" w:rsidRPr="00EB73CB">
          <w:rPr>
            <w:webHidden/>
          </w:rPr>
          <w:fldChar w:fldCharType="begin"/>
        </w:r>
        <w:r w:rsidR="00EB73CB" w:rsidRPr="00EB73CB">
          <w:rPr>
            <w:webHidden/>
          </w:rPr>
          <w:instrText xml:space="preserve"> PAGEREF _Toc116923156 \h </w:instrText>
        </w:r>
        <w:r w:rsidR="00EB73CB" w:rsidRPr="00EB73CB">
          <w:rPr>
            <w:webHidden/>
          </w:rPr>
        </w:r>
        <w:r w:rsidR="00EB73CB" w:rsidRPr="00EB73CB">
          <w:rPr>
            <w:webHidden/>
          </w:rPr>
          <w:fldChar w:fldCharType="separate"/>
        </w:r>
        <w:r w:rsidR="003A7CEA">
          <w:rPr>
            <w:webHidden/>
          </w:rPr>
          <w:t>14</w:t>
        </w:r>
        <w:r w:rsidR="00EB73CB" w:rsidRPr="00EB73CB">
          <w:rPr>
            <w:webHidden/>
          </w:rPr>
          <w:fldChar w:fldCharType="end"/>
        </w:r>
      </w:hyperlink>
    </w:p>
    <w:p w:rsidR="00EB73CB" w:rsidRPr="00EB73CB" w:rsidRDefault="006A08E6" w:rsidP="00752662">
      <w:pPr>
        <w:pStyle w:val="Verzeichnis1"/>
        <w:tabs>
          <w:tab w:val="left" w:pos="567"/>
          <w:tab w:val="right" w:leader="dot" w:pos="9204"/>
        </w:tabs>
        <w:spacing w:line="276" w:lineRule="auto"/>
        <w:ind w:left="426" w:hanging="426"/>
        <w:rPr>
          <w:rFonts w:ascii="Arial" w:eastAsiaTheme="minorEastAsia" w:hAnsi="Arial" w:cs="Arial"/>
          <w:b w:val="0"/>
          <w:bCs w:val="0"/>
          <w:caps w:val="0"/>
          <w:noProof/>
          <w:sz w:val="24"/>
          <w:szCs w:val="24"/>
          <w:lang w:val="de-DE"/>
        </w:rPr>
      </w:pPr>
      <w:r w:rsidRPr="006A08E6">
        <w:rPr>
          <w:rStyle w:val="Hyperlink"/>
          <w:rFonts w:ascii="Arial" w:hAnsi="Arial" w:cs="Arial"/>
          <w:b w:val="0"/>
          <w:bCs w:val="0"/>
          <w:noProof/>
          <w:color w:val="auto"/>
          <w:sz w:val="24"/>
          <w:szCs w:val="24"/>
          <w:u w:val="none"/>
        </w:rPr>
        <w:sym w:font="Wingdings" w:char="F070"/>
      </w:r>
      <w:r>
        <w:rPr>
          <w:rStyle w:val="Hyperlink"/>
          <w:rFonts w:ascii="Arial" w:hAnsi="Arial" w:cs="Arial"/>
          <w:b w:val="0"/>
          <w:bCs w:val="0"/>
          <w:noProof/>
          <w:color w:val="auto"/>
          <w:sz w:val="24"/>
          <w:szCs w:val="24"/>
          <w:u w:val="none"/>
        </w:rPr>
        <w:t xml:space="preserve"> </w:t>
      </w:r>
      <w:hyperlink w:anchor="_Toc116923157" w:history="1">
        <w:r w:rsidR="00EB73CB" w:rsidRPr="00EB73CB">
          <w:rPr>
            <w:rStyle w:val="Hyperlink"/>
            <w:rFonts w:ascii="Arial" w:hAnsi="Arial" w:cs="Arial"/>
            <w:noProof/>
            <w:color w:val="auto"/>
            <w:sz w:val="24"/>
            <w:szCs w:val="24"/>
          </w:rPr>
          <w:t>8</w:t>
        </w:r>
        <w:r w:rsidR="00752662">
          <w:rPr>
            <w:rStyle w:val="Hyperlink"/>
            <w:rFonts w:ascii="Arial" w:hAnsi="Arial" w:cs="Arial"/>
            <w:noProof/>
            <w:color w:val="auto"/>
            <w:sz w:val="24"/>
            <w:szCs w:val="24"/>
          </w:rPr>
          <w:tab/>
        </w:r>
        <w:r w:rsidR="00752662">
          <w:rPr>
            <w:rStyle w:val="Hyperlink"/>
            <w:rFonts w:ascii="Arial" w:hAnsi="Arial" w:cs="Arial"/>
            <w:noProof/>
            <w:color w:val="auto"/>
            <w:sz w:val="24"/>
            <w:szCs w:val="24"/>
          </w:rPr>
          <w:tab/>
        </w:r>
        <w:r w:rsidR="00EB73CB" w:rsidRPr="00EB73CB">
          <w:rPr>
            <w:rStyle w:val="Hyperlink"/>
            <w:rFonts w:ascii="Arial" w:hAnsi="Arial" w:cs="Arial"/>
            <w:noProof/>
            <w:color w:val="auto"/>
            <w:sz w:val="24"/>
            <w:szCs w:val="24"/>
          </w:rPr>
          <w:t>STEUERFREIES JOBTICKET BZW KLIMATICKET</w:t>
        </w:r>
        <w:r w:rsidR="00EB73CB" w:rsidRPr="00EB73CB">
          <w:rPr>
            <w:rFonts w:ascii="Arial" w:hAnsi="Arial" w:cs="Arial"/>
            <w:noProof/>
            <w:webHidden/>
            <w:sz w:val="24"/>
            <w:szCs w:val="24"/>
          </w:rPr>
          <w:tab/>
        </w:r>
        <w:r w:rsidR="00EB73CB" w:rsidRPr="00EB73CB">
          <w:rPr>
            <w:rFonts w:ascii="Arial" w:hAnsi="Arial" w:cs="Arial"/>
            <w:noProof/>
            <w:webHidden/>
            <w:sz w:val="24"/>
            <w:szCs w:val="24"/>
          </w:rPr>
          <w:fldChar w:fldCharType="begin"/>
        </w:r>
        <w:r w:rsidR="00EB73CB" w:rsidRPr="00EB73CB">
          <w:rPr>
            <w:rFonts w:ascii="Arial" w:hAnsi="Arial" w:cs="Arial"/>
            <w:noProof/>
            <w:webHidden/>
            <w:sz w:val="24"/>
            <w:szCs w:val="24"/>
          </w:rPr>
          <w:instrText xml:space="preserve"> PAGEREF _Toc116923157 \h </w:instrText>
        </w:r>
        <w:r w:rsidR="00EB73CB" w:rsidRPr="00EB73CB">
          <w:rPr>
            <w:rFonts w:ascii="Arial" w:hAnsi="Arial" w:cs="Arial"/>
            <w:noProof/>
            <w:webHidden/>
            <w:sz w:val="24"/>
            <w:szCs w:val="24"/>
          </w:rPr>
        </w:r>
        <w:r w:rsidR="00EB73CB" w:rsidRPr="00EB73CB">
          <w:rPr>
            <w:rFonts w:ascii="Arial" w:hAnsi="Arial" w:cs="Arial"/>
            <w:noProof/>
            <w:webHidden/>
            <w:sz w:val="24"/>
            <w:szCs w:val="24"/>
          </w:rPr>
          <w:fldChar w:fldCharType="separate"/>
        </w:r>
        <w:r w:rsidR="003A7CEA">
          <w:rPr>
            <w:rFonts w:ascii="Arial" w:hAnsi="Arial" w:cs="Arial"/>
            <w:noProof/>
            <w:webHidden/>
            <w:sz w:val="24"/>
            <w:szCs w:val="24"/>
          </w:rPr>
          <w:t>14</w:t>
        </w:r>
        <w:r w:rsidR="00EB73CB" w:rsidRPr="00EB73CB">
          <w:rPr>
            <w:rFonts w:ascii="Arial" w:hAnsi="Arial" w:cs="Arial"/>
            <w:noProof/>
            <w:webHidden/>
            <w:sz w:val="24"/>
            <w:szCs w:val="24"/>
          </w:rPr>
          <w:fldChar w:fldCharType="end"/>
        </w:r>
      </w:hyperlink>
    </w:p>
    <w:p w:rsidR="00EB73CB" w:rsidRDefault="006A08E6" w:rsidP="006A08E6">
      <w:pPr>
        <w:pStyle w:val="Verzeichnis1"/>
        <w:tabs>
          <w:tab w:val="left" w:pos="567"/>
          <w:tab w:val="right" w:leader="dot" w:pos="9204"/>
        </w:tabs>
        <w:spacing w:line="276" w:lineRule="auto"/>
        <w:ind w:left="426" w:hanging="426"/>
        <w:rPr>
          <w:rStyle w:val="Hyperlink"/>
          <w:rFonts w:ascii="Arial" w:hAnsi="Arial" w:cs="Arial"/>
          <w:noProof/>
          <w:color w:val="auto"/>
          <w:sz w:val="24"/>
          <w:szCs w:val="24"/>
        </w:rPr>
      </w:pPr>
      <w:r w:rsidRPr="006A08E6">
        <w:rPr>
          <w:rStyle w:val="Hyperlink"/>
          <w:rFonts w:ascii="Arial" w:hAnsi="Arial" w:cs="Arial"/>
          <w:b w:val="0"/>
          <w:bCs w:val="0"/>
          <w:noProof/>
          <w:color w:val="auto"/>
          <w:sz w:val="24"/>
          <w:szCs w:val="24"/>
          <w:u w:val="none"/>
        </w:rPr>
        <w:sym w:font="Wingdings" w:char="F070"/>
      </w:r>
      <w:r>
        <w:rPr>
          <w:rStyle w:val="Hyperlink"/>
          <w:rFonts w:ascii="Arial" w:hAnsi="Arial" w:cs="Arial"/>
          <w:b w:val="0"/>
          <w:bCs w:val="0"/>
          <w:noProof/>
          <w:color w:val="auto"/>
          <w:sz w:val="24"/>
          <w:szCs w:val="24"/>
          <w:u w:val="none"/>
        </w:rPr>
        <w:t xml:space="preserve"> </w:t>
      </w:r>
      <w:hyperlink w:anchor="_Toc116923158" w:history="1">
        <w:r w:rsidR="00EB73CB" w:rsidRPr="00EB73CB">
          <w:rPr>
            <w:rStyle w:val="Hyperlink"/>
            <w:rFonts w:ascii="Arial" w:hAnsi="Arial" w:cs="Arial"/>
            <w:noProof/>
            <w:color w:val="auto"/>
            <w:sz w:val="24"/>
            <w:szCs w:val="24"/>
          </w:rPr>
          <w:t>9</w:t>
        </w:r>
        <w:r w:rsidR="00752662">
          <w:rPr>
            <w:rStyle w:val="Hyperlink"/>
            <w:rFonts w:ascii="Arial" w:hAnsi="Arial" w:cs="Arial"/>
            <w:noProof/>
            <w:color w:val="auto"/>
            <w:sz w:val="24"/>
            <w:szCs w:val="24"/>
          </w:rPr>
          <w:t xml:space="preserve"> </w:t>
        </w:r>
        <w:r w:rsidR="00EB73CB" w:rsidRPr="00EB73CB">
          <w:rPr>
            <w:rFonts w:ascii="Arial" w:eastAsiaTheme="minorEastAsia" w:hAnsi="Arial" w:cs="Arial"/>
            <w:b w:val="0"/>
            <w:bCs w:val="0"/>
            <w:caps w:val="0"/>
            <w:noProof/>
            <w:sz w:val="24"/>
            <w:szCs w:val="24"/>
            <w:lang w:val="de-DE"/>
          </w:rPr>
          <w:tab/>
        </w:r>
        <w:r w:rsidR="00EB73CB" w:rsidRPr="00EB73CB">
          <w:rPr>
            <w:rStyle w:val="Hyperlink"/>
            <w:rFonts w:ascii="Arial" w:hAnsi="Arial" w:cs="Arial"/>
            <w:noProof/>
            <w:color w:val="auto"/>
            <w:sz w:val="24"/>
            <w:szCs w:val="24"/>
          </w:rPr>
          <w:t>HOMEOFFICE</w:t>
        </w:r>
        <w:r w:rsidR="00EB73CB" w:rsidRPr="00EB73CB">
          <w:rPr>
            <w:rFonts w:ascii="Arial" w:hAnsi="Arial" w:cs="Arial"/>
            <w:noProof/>
            <w:webHidden/>
            <w:sz w:val="24"/>
            <w:szCs w:val="24"/>
          </w:rPr>
          <w:tab/>
        </w:r>
        <w:r w:rsidR="00EB73CB" w:rsidRPr="00EB73CB">
          <w:rPr>
            <w:rFonts w:ascii="Arial" w:hAnsi="Arial" w:cs="Arial"/>
            <w:noProof/>
            <w:webHidden/>
            <w:sz w:val="24"/>
            <w:szCs w:val="24"/>
          </w:rPr>
          <w:fldChar w:fldCharType="begin"/>
        </w:r>
        <w:r w:rsidR="00EB73CB" w:rsidRPr="00EB73CB">
          <w:rPr>
            <w:rFonts w:ascii="Arial" w:hAnsi="Arial" w:cs="Arial"/>
            <w:noProof/>
            <w:webHidden/>
            <w:sz w:val="24"/>
            <w:szCs w:val="24"/>
          </w:rPr>
          <w:instrText xml:space="preserve"> PAGEREF _Toc116923158 \h </w:instrText>
        </w:r>
        <w:r w:rsidR="00EB73CB" w:rsidRPr="00EB73CB">
          <w:rPr>
            <w:rFonts w:ascii="Arial" w:hAnsi="Arial" w:cs="Arial"/>
            <w:noProof/>
            <w:webHidden/>
            <w:sz w:val="24"/>
            <w:szCs w:val="24"/>
          </w:rPr>
        </w:r>
        <w:r w:rsidR="00EB73CB" w:rsidRPr="00EB73CB">
          <w:rPr>
            <w:rFonts w:ascii="Arial" w:hAnsi="Arial" w:cs="Arial"/>
            <w:noProof/>
            <w:webHidden/>
            <w:sz w:val="24"/>
            <w:szCs w:val="24"/>
          </w:rPr>
          <w:fldChar w:fldCharType="separate"/>
        </w:r>
        <w:r w:rsidR="003A7CEA">
          <w:rPr>
            <w:rFonts w:ascii="Arial" w:hAnsi="Arial" w:cs="Arial"/>
            <w:noProof/>
            <w:webHidden/>
            <w:sz w:val="24"/>
            <w:szCs w:val="24"/>
          </w:rPr>
          <w:t>14</w:t>
        </w:r>
        <w:r w:rsidR="00EB73CB" w:rsidRPr="00EB73CB">
          <w:rPr>
            <w:rFonts w:ascii="Arial" w:hAnsi="Arial" w:cs="Arial"/>
            <w:noProof/>
            <w:webHidden/>
            <w:sz w:val="24"/>
            <w:szCs w:val="24"/>
          </w:rPr>
          <w:fldChar w:fldCharType="end"/>
        </w:r>
      </w:hyperlink>
    </w:p>
    <w:p w:rsidR="006A08E6" w:rsidRPr="006A08E6" w:rsidRDefault="006A08E6" w:rsidP="006A08E6">
      <w:pPr>
        <w:rPr>
          <w:rFonts w:eastAsiaTheme="minorEastAsia"/>
        </w:rPr>
      </w:pPr>
    </w:p>
    <w:p w:rsidR="00EB73CB" w:rsidRPr="006A08E6" w:rsidRDefault="00B74060" w:rsidP="006A08E6">
      <w:pPr>
        <w:pStyle w:val="Verzeichnis1"/>
        <w:tabs>
          <w:tab w:val="left" w:pos="567"/>
          <w:tab w:val="right" w:leader="dot" w:pos="9204"/>
        </w:tabs>
        <w:spacing w:line="276" w:lineRule="auto"/>
        <w:rPr>
          <w:rFonts w:ascii="Arial" w:eastAsiaTheme="minorEastAsia" w:hAnsi="Arial" w:cs="Arial"/>
          <w:b w:val="0"/>
          <w:bCs w:val="0"/>
          <w:caps w:val="0"/>
          <w:noProof/>
          <w:color w:val="E36C0A" w:themeColor="accent6" w:themeShade="BF"/>
          <w:sz w:val="24"/>
          <w:szCs w:val="24"/>
          <w:lang w:val="de-DE"/>
        </w:rPr>
      </w:pPr>
      <w:hyperlink w:anchor="_Toc116923159" w:history="1">
        <w:r w:rsidR="00EB73CB" w:rsidRPr="006A08E6">
          <w:rPr>
            <w:rStyle w:val="Hyperlink"/>
            <w:rFonts w:ascii="Arial" w:hAnsi="Arial" w:cs="Arial"/>
            <w:noProof/>
            <w:color w:val="E36C0A" w:themeColor="accent6" w:themeShade="BF"/>
            <w:sz w:val="24"/>
            <w:szCs w:val="24"/>
          </w:rPr>
          <w:t>Steuertipps für Arbeitnehmer</w:t>
        </w:r>
        <w:r w:rsidR="00EB73CB" w:rsidRPr="006A08E6">
          <w:rPr>
            <w:rFonts w:ascii="Arial" w:hAnsi="Arial" w:cs="Arial"/>
            <w:noProof/>
            <w:webHidden/>
            <w:color w:val="E36C0A" w:themeColor="accent6" w:themeShade="BF"/>
            <w:sz w:val="24"/>
            <w:szCs w:val="24"/>
          </w:rPr>
          <w:tab/>
        </w:r>
        <w:r w:rsidR="00EB73CB" w:rsidRPr="006A08E6">
          <w:rPr>
            <w:rFonts w:ascii="Arial" w:hAnsi="Arial" w:cs="Arial"/>
            <w:noProof/>
            <w:webHidden/>
            <w:color w:val="E36C0A" w:themeColor="accent6" w:themeShade="BF"/>
            <w:sz w:val="24"/>
            <w:szCs w:val="24"/>
          </w:rPr>
          <w:fldChar w:fldCharType="begin"/>
        </w:r>
        <w:r w:rsidR="00EB73CB" w:rsidRPr="006A08E6">
          <w:rPr>
            <w:rFonts w:ascii="Arial" w:hAnsi="Arial" w:cs="Arial"/>
            <w:noProof/>
            <w:webHidden/>
            <w:color w:val="E36C0A" w:themeColor="accent6" w:themeShade="BF"/>
            <w:sz w:val="24"/>
            <w:szCs w:val="24"/>
          </w:rPr>
          <w:instrText xml:space="preserve"> PAGEREF _Toc116923159 \h </w:instrText>
        </w:r>
        <w:r w:rsidR="00EB73CB" w:rsidRPr="006A08E6">
          <w:rPr>
            <w:rFonts w:ascii="Arial" w:hAnsi="Arial" w:cs="Arial"/>
            <w:noProof/>
            <w:webHidden/>
            <w:color w:val="E36C0A" w:themeColor="accent6" w:themeShade="BF"/>
            <w:sz w:val="24"/>
            <w:szCs w:val="24"/>
          </w:rPr>
        </w:r>
        <w:r w:rsidR="00EB73CB" w:rsidRPr="006A08E6">
          <w:rPr>
            <w:rFonts w:ascii="Arial" w:hAnsi="Arial" w:cs="Arial"/>
            <w:noProof/>
            <w:webHidden/>
            <w:color w:val="E36C0A" w:themeColor="accent6" w:themeShade="BF"/>
            <w:sz w:val="24"/>
            <w:szCs w:val="24"/>
          </w:rPr>
          <w:fldChar w:fldCharType="separate"/>
        </w:r>
        <w:r w:rsidR="003A7CEA">
          <w:rPr>
            <w:rFonts w:ascii="Arial" w:hAnsi="Arial" w:cs="Arial"/>
            <w:noProof/>
            <w:webHidden/>
            <w:color w:val="E36C0A" w:themeColor="accent6" w:themeShade="BF"/>
            <w:sz w:val="24"/>
            <w:szCs w:val="24"/>
          </w:rPr>
          <w:t>16</w:t>
        </w:r>
        <w:r w:rsidR="00EB73CB" w:rsidRPr="006A08E6">
          <w:rPr>
            <w:rFonts w:ascii="Arial" w:hAnsi="Arial" w:cs="Arial"/>
            <w:noProof/>
            <w:webHidden/>
            <w:color w:val="E36C0A" w:themeColor="accent6" w:themeShade="BF"/>
            <w:sz w:val="24"/>
            <w:szCs w:val="24"/>
          </w:rPr>
          <w:fldChar w:fldCharType="end"/>
        </w:r>
      </w:hyperlink>
    </w:p>
    <w:p w:rsidR="00EB73CB" w:rsidRPr="00EB73CB" w:rsidRDefault="00752662" w:rsidP="00752662">
      <w:pPr>
        <w:pStyle w:val="Verzeichnis1"/>
        <w:tabs>
          <w:tab w:val="left" w:pos="567"/>
          <w:tab w:val="right" w:leader="dot" w:pos="9204"/>
        </w:tabs>
        <w:spacing w:line="276" w:lineRule="auto"/>
        <w:ind w:left="567" w:hanging="567"/>
        <w:rPr>
          <w:rFonts w:ascii="Arial" w:eastAsiaTheme="minorEastAsia" w:hAnsi="Arial" w:cs="Arial"/>
          <w:b w:val="0"/>
          <w:bCs w:val="0"/>
          <w:caps w:val="0"/>
          <w:noProof/>
          <w:sz w:val="24"/>
          <w:szCs w:val="24"/>
          <w:lang w:val="de-DE"/>
        </w:rPr>
      </w:pPr>
      <w:r w:rsidRPr="006A08E6">
        <w:rPr>
          <w:rStyle w:val="Hyperlink"/>
          <w:rFonts w:ascii="Arial" w:hAnsi="Arial" w:cs="Arial"/>
          <w:b w:val="0"/>
          <w:bCs w:val="0"/>
          <w:noProof/>
          <w:color w:val="auto"/>
          <w:sz w:val="24"/>
          <w:szCs w:val="24"/>
          <w:u w:val="none"/>
        </w:rPr>
        <w:sym w:font="Wingdings" w:char="F070"/>
      </w:r>
      <w:r>
        <w:rPr>
          <w:rStyle w:val="Hyperlink"/>
          <w:rFonts w:ascii="Arial" w:hAnsi="Arial" w:cs="Arial"/>
          <w:b w:val="0"/>
          <w:bCs w:val="0"/>
          <w:noProof/>
          <w:color w:val="auto"/>
          <w:sz w:val="24"/>
          <w:szCs w:val="24"/>
          <w:u w:val="none"/>
        </w:rPr>
        <w:t xml:space="preserve"> </w:t>
      </w:r>
      <w:hyperlink w:anchor="_Toc116923160" w:history="1">
        <w:r w:rsidR="00EB73CB" w:rsidRPr="00EB73CB">
          <w:rPr>
            <w:rStyle w:val="Hyperlink"/>
            <w:rFonts w:ascii="Arial" w:hAnsi="Arial" w:cs="Arial"/>
            <w:noProof/>
            <w:color w:val="auto"/>
            <w:sz w:val="24"/>
            <w:szCs w:val="24"/>
          </w:rPr>
          <w:t>1</w:t>
        </w:r>
        <w:r>
          <w:rPr>
            <w:rStyle w:val="Hyperlink"/>
            <w:rFonts w:ascii="Arial" w:hAnsi="Arial" w:cs="Arial"/>
            <w:noProof/>
            <w:color w:val="auto"/>
            <w:sz w:val="24"/>
            <w:szCs w:val="24"/>
          </w:rPr>
          <w:tab/>
        </w:r>
        <w:r w:rsidR="00EB73CB" w:rsidRPr="00EB73CB">
          <w:rPr>
            <w:rStyle w:val="Hyperlink"/>
            <w:rFonts w:ascii="Arial" w:hAnsi="Arial" w:cs="Arial"/>
            <w:noProof/>
            <w:color w:val="auto"/>
            <w:sz w:val="24"/>
            <w:szCs w:val="24"/>
          </w:rPr>
          <w:t>RÜCKERSTATTUNG VON KRANKEN-, ARBEITSLOSEN- UND PENSIONSVERSICHERUNGSBEITRÄGEN 2019 BEI MEHRFACHVERSICHERUNG BIS ENDE 2022</w:t>
        </w:r>
        <w:r w:rsidR="00EB73CB" w:rsidRPr="00EB73CB">
          <w:rPr>
            <w:rFonts w:ascii="Arial" w:hAnsi="Arial" w:cs="Arial"/>
            <w:noProof/>
            <w:webHidden/>
            <w:sz w:val="24"/>
            <w:szCs w:val="24"/>
          </w:rPr>
          <w:tab/>
        </w:r>
        <w:r w:rsidR="00EB73CB" w:rsidRPr="00EB73CB">
          <w:rPr>
            <w:rFonts w:ascii="Arial" w:hAnsi="Arial" w:cs="Arial"/>
            <w:noProof/>
            <w:webHidden/>
            <w:sz w:val="24"/>
            <w:szCs w:val="24"/>
          </w:rPr>
          <w:fldChar w:fldCharType="begin"/>
        </w:r>
        <w:r w:rsidR="00EB73CB" w:rsidRPr="00EB73CB">
          <w:rPr>
            <w:rFonts w:ascii="Arial" w:hAnsi="Arial" w:cs="Arial"/>
            <w:noProof/>
            <w:webHidden/>
            <w:sz w:val="24"/>
            <w:szCs w:val="24"/>
          </w:rPr>
          <w:instrText xml:space="preserve"> PAGEREF _Toc116923160 \h </w:instrText>
        </w:r>
        <w:r w:rsidR="00EB73CB" w:rsidRPr="00EB73CB">
          <w:rPr>
            <w:rFonts w:ascii="Arial" w:hAnsi="Arial" w:cs="Arial"/>
            <w:noProof/>
            <w:webHidden/>
            <w:sz w:val="24"/>
            <w:szCs w:val="24"/>
          </w:rPr>
        </w:r>
        <w:r w:rsidR="00EB73CB" w:rsidRPr="00EB73CB">
          <w:rPr>
            <w:rFonts w:ascii="Arial" w:hAnsi="Arial" w:cs="Arial"/>
            <w:noProof/>
            <w:webHidden/>
            <w:sz w:val="24"/>
            <w:szCs w:val="24"/>
          </w:rPr>
          <w:fldChar w:fldCharType="separate"/>
        </w:r>
        <w:r w:rsidR="003A7CEA">
          <w:rPr>
            <w:rFonts w:ascii="Arial" w:hAnsi="Arial" w:cs="Arial"/>
            <w:noProof/>
            <w:webHidden/>
            <w:sz w:val="24"/>
            <w:szCs w:val="24"/>
          </w:rPr>
          <w:t>16</w:t>
        </w:r>
        <w:r w:rsidR="00EB73CB" w:rsidRPr="00EB73CB">
          <w:rPr>
            <w:rFonts w:ascii="Arial" w:hAnsi="Arial" w:cs="Arial"/>
            <w:noProof/>
            <w:webHidden/>
            <w:sz w:val="24"/>
            <w:szCs w:val="24"/>
          </w:rPr>
          <w:fldChar w:fldCharType="end"/>
        </w:r>
      </w:hyperlink>
    </w:p>
    <w:p w:rsidR="00EB73CB" w:rsidRPr="00EB73CB" w:rsidRDefault="00752662" w:rsidP="006A08E6">
      <w:pPr>
        <w:pStyle w:val="Verzeichnis1"/>
        <w:tabs>
          <w:tab w:val="left" w:pos="567"/>
          <w:tab w:val="right" w:leader="dot" w:pos="9204"/>
        </w:tabs>
        <w:spacing w:line="276" w:lineRule="auto"/>
        <w:ind w:left="426" w:hanging="426"/>
        <w:rPr>
          <w:rFonts w:ascii="Arial" w:eastAsiaTheme="minorEastAsia" w:hAnsi="Arial" w:cs="Arial"/>
          <w:b w:val="0"/>
          <w:bCs w:val="0"/>
          <w:caps w:val="0"/>
          <w:noProof/>
          <w:sz w:val="24"/>
          <w:szCs w:val="24"/>
          <w:lang w:val="de-DE"/>
        </w:rPr>
      </w:pPr>
      <w:r w:rsidRPr="006A08E6">
        <w:rPr>
          <w:rStyle w:val="Hyperlink"/>
          <w:rFonts w:ascii="Arial" w:hAnsi="Arial" w:cs="Arial"/>
          <w:b w:val="0"/>
          <w:bCs w:val="0"/>
          <w:noProof/>
          <w:color w:val="auto"/>
          <w:sz w:val="24"/>
          <w:szCs w:val="24"/>
          <w:u w:val="none"/>
        </w:rPr>
        <w:sym w:font="Wingdings" w:char="F070"/>
      </w:r>
      <w:r>
        <w:rPr>
          <w:rStyle w:val="Hyperlink"/>
          <w:rFonts w:ascii="Arial" w:hAnsi="Arial" w:cs="Arial"/>
          <w:b w:val="0"/>
          <w:bCs w:val="0"/>
          <w:noProof/>
          <w:color w:val="auto"/>
          <w:sz w:val="24"/>
          <w:szCs w:val="24"/>
          <w:u w:val="none"/>
        </w:rPr>
        <w:t xml:space="preserve"> </w:t>
      </w:r>
      <w:hyperlink w:anchor="_Toc116923161" w:history="1">
        <w:r w:rsidR="00EB73CB" w:rsidRPr="00EB73CB">
          <w:rPr>
            <w:rStyle w:val="Hyperlink"/>
            <w:rFonts w:ascii="Arial" w:hAnsi="Arial" w:cs="Arial"/>
            <w:noProof/>
            <w:color w:val="auto"/>
            <w:sz w:val="24"/>
            <w:szCs w:val="24"/>
          </w:rPr>
          <w:t>2</w:t>
        </w:r>
        <w:r>
          <w:rPr>
            <w:rStyle w:val="Hyperlink"/>
            <w:rFonts w:ascii="Arial" w:hAnsi="Arial" w:cs="Arial"/>
            <w:noProof/>
            <w:color w:val="auto"/>
            <w:sz w:val="24"/>
            <w:szCs w:val="24"/>
          </w:rPr>
          <w:tab/>
        </w:r>
        <w:r w:rsidR="00EB73CB" w:rsidRPr="00EB73CB">
          <w:rPr>
            <w:rFonts w:ascii="Arial" w:eastAsiaTheme="minorEastAsia" w:hAnsi="Arial" w:cs="Arial"/>
            <w:b w:val="0"/>
            <w:bCs w:val="0"/>
            <w:caps w:val="0"/>
            <w:noProof/>
            <w:sz w:val="24"/>
            <w:szCs w:val="24"/>
            <w:lang w:val="de-DE"/>
          </w:rPr>
          <w:tab/>
        </w:r>
        <w:r w:rsidR="00EB73CB" w:rsidRPr="00EB73CB">
          <w:rPr>
            <w:rStyle w:val="Hyperlink"/>
            <w:rFonts w:ascii="Arial" w:hAnsi="Arial" w:cs="Arial"/>
            <w:noProof/>
            <w:color w:val="auto"/>
            <w:sz w:val="24"/>
            <w:szCs w:val="24"/>
          </w:rPr>
          <w:t>WERBUNGSKOSTEN NOCH VOR DEM 31.12.2022 BEZAHLEN</w:t>
        </w:r>
        <w:r w:rsidR="00EB73CB" w:rsidRPr="00EB73CB">
          <w:rPr>
            <w:rFonts w:ascii="Arial" w:hAnsi="Arial" w:cs="Arial"/>
            <w:noProof/>
            <w:webHidden/>
            <w:sz w:val="24"/>
            <w:szCs w:val="24"/>
          </w:rPr>
          <w:tab/>
        </w:r>
        <w:r w:rsidR="00EB73CB" w:rsidRPr="00EB73CB">
          <w:rPr>
            <w:rFonts w:ascii="Arial" w:hAnsi="Arial" w:cs="Arial"/>
            <w:noProof/>
            <w:webHidden/>
            <w:sz w:val="24"/>
            <w:szCs w:val="24"/>
          </w:rPr>
          <w:fldChar w:fldCharType="begin"/>
        </w:r>
        <w:r w:rsidR="00EB73CB" w:rsidRPr="00EB73CB">
          <w:rPr>
            <w:rFonts w:ascii="Arial" w:hAnsi="Arial" w:cs="Arial"/>
            <w:noProof/>
            <w:webHidden/>
            <w:sz w:val="24"/>
            <w:szCs w:val="24"/>
          </w:rPr>
          <w:instrText xml:space="preserve"> PAGEREF _Toc116923161 \h </w:instrText>
        </w:r>
        <w:r w:rsidR="00EB73CB" w:rsidRPr="00EB73CB">
          <w:rPr>
            <w:rFonts w:ascii="Arial" w:hAnsi="Arial" w:cs="Arial"/>
            <w:noProof/>
            <w:webHidden/>
            <w:sz w:val="24"/>
            <w:szCs w:val="24"/>
          </w:rPr>
        </w:r>
        <w:r w:rsidR="00EB73CB" w:rsidRPr="00EB73CB">
          <w:rPr>
            <w:rFonts w:ascii="Arial" w:hAnsi="Arial" w:cs="Arial"/>
            <w:noProof/>
            <w:webHidden/>
            <w:sz w:val="24"/>
            <w:szCs w:val="24"/>
          </w:rPr>
          <w:fldChar w:fldCharType="separate"/>
        </w:r>
        <w:r w:rsidR="003A7CEA">
          <w:rPr>
            <w:rFonts w:ascii="Arial" w:hAnsi="Arial" w:cs="Arial"/>
            <w:noProof/>
            <w:webHidden/>
            <w:sz w:val="24"/>
            <w:szCs w:val="24"/>
          </w:rPr>
          <w:t>16</w:t>
        </w:r>
        <w:r w:rsidR="00EB73CB" w:rsidRPr="00EB73CB">
          <w:rPr>
            <w:rFonts w:ascii="Arial" w:hAnsi="Arial" w:cs="Arial"/>
            <w:noProof/>
            <w:webHidden/>
            <w:sz w:val="24"/>
            <w:szCs w:val="24"/>
          </w:rPr>
          <w:fldChar w:fldCharType="end"/>
        </w:r>
      </w:hyperlink>
    </w:p>
    <w:p w:rsidR="00EB73CB" w:rsidRDefault="00752662" w:rsidP="00752662">
      <w:pPr>
        <w:pStyle w:val="Verzeichnis1"/>
        <w:tabs>
          <w:tab w:val="left" w:pos="567"/>
          <w:tab w:val="right" w:leader="dot" w:pos="9204"/>
        </w:tabs>
        <w:spacing w:line="276" w:lineRule="auto"/>
        <w:ind w:left="567" w:hanging="567"/>
        <w:rPr>
          <w:rStyle w:val="Hyperlink"/>
          <w:rFonts w:ascii="Arial" w:hAnsi="Arial" w:cs="Arial"/>
          <w:noProof/>
          <w:color w:val="auto"/>
          <w:sz w:val="24"/>
          <w:szCs w:val="24"/>
        </w:rPr>
      </w:pPr>
      <w:r w:rsidRPr="006A08E6">
        <w:rPr>
          <w:rStyle w:val="Hyperlink"/>
          <w:rFonts w:ascii="Arial" w:hAnsi="Arial" w:cs="Arial"/>
          <w:b w:val="0"/>
          <w:bCs w:val="0"/>
          <w:noProof/>
          <w:color w:val="auto"/>
          <w:sz w:val="24"/>
          <w:szCs w:val="24"/>
          <w:u w:val="none"/>
        </w:rPr>
        <w:sym w:font="Wingdings" w:char="F070"/>
      </w:r>
      <w:r>
        <w:rPr>
          <w:rStyle w:val="Hyperlink"/>
          <w:rFonts w:ascii="Arial" w:hAnsi="Arial" w:cs="Arial"/>
          <w:b w:val="0"/>
          <w:bCs w:val="0"/>
          <w:noProof/>
          <w:color w:val="auto"/>
          <w:sz w:val="24"/>
          <w:szCs w:val="24"/>
          <w:u w:val="none"/>
        </w:rPr>
        <w:t xml:space="preserve"> </w:t>
      </w:r>
      <w:hyperlink w:anchor="_Toc116923162" w:history="1">
        <w:r w:rsidR="00EB73CB" w:rsidRPr="00EB73CB">
          <w:rPr>
            <w:rStyle w:val="Hyperlink"/>
            <w:rFonts w:ascii="Arial" w:hAnsi="Arial" w:cs="Arial"/>
            <w:noProof/>
            <w:color w:val="auto"/>
            <w:sz w:val="24"/>
            <w:szCs w:val="24"/>
          </w:rPr>
          <w:t>3</w:t>
        </w:r>
        <w:r>
          <w:rPr>
            <w:rStyle w:val="Hyperlink"/>
            <w:rFonts w:ascii="Arial" w:hAnsi="Arial" w:cs="Arial"/>
            <w:noProof/>
            <w:color w:val="auto"/>
            <w:sz w:val="24"/>
            <w:szCs w:val="24"/>
          </w:rPr>
          <w:tab/>
        </w:r>
        <w:r w:rsidR="00EB73CB" w:rsidRPr="00EB73CB">
          <w:rPr>
            <w:rStyle w:val="Hyperlink"/>
            <w:rFonts w:ascii="Arial" w:hAnsi="Arial" w:cs="Arial"/>
            <w:noProof/>
            <w:color w:val="auto"/>
            <w:sz w:val="24"/>
            <w:szCs w:val="24"/>
          </w:rPr>
          <w:t>ARBEITNEHMERVERANLAGUNG 2017 SOWIE RÜCKZAHLUNG VON ZU UNRECHT EINBEHALTENER LOHNSTEUER DES JAHRES 2017 BEANTRAGEN</w:t>
        </w:r>
        <w:r w:rsidR="00EB73CB" w:rsidRPr="00EB73CB">
          <w:rPr>
            <w:rFonts w:ascii="Arial" w:hAnsi="Arial" w:cs="Arial"/>
            <w:noProof/>
            <w:webHidden/>
            <w:sz w:val="24"/>
            <w:szCs w:val="24"/>
          </w:rPr>
          <w:tab/>
        </w:r>
        <w:r w:rsidR="00EB73CB" w:rsidRPr="00EB73CB">
          <w:rPr>
            <w:rFonts w:ascii="Arial" w:hAnsi="Arial" w:cs="Arial"/>
            <w:noProof/>
            <w:webHidden/>
            <w:sz w:val="24"/>
            <w:szCs w:val="24"/>
          </w:rPr>
          <w:fldChar w:fldCharType="begin"/>
        </w:r>
        <w:r w:rsidR="00EB73CB" w:rsidRPr="00EB73CB">
          <w:rPr>
            <w:rFonts w:ascii="Arial" w:hAnsi="Arial" w:cs="Arial"/>
            <w:noProof/>
            <w:webHidden/>
            <w:sz w:val="24"/>
            <w:szCs w:val="24"/>
          </w:rPr>
          <w:instrText xml:space="preserve"> PAGEREF _Toc116923162 \h </w:instrText>
        </w:r>
        <w:r w:rsidR="00EB73CB" w:rsidRPr="00EB73CB">
          <w:rPr>
            <w:rFonts w:ascii="Arial" w:hAnsi="Arial" w:cs="Arial"/>
            <w:noProof/>
            <w:webHidden/>
            <w:sz w:val="24"/>
            <w:szCs w:val="24"/>
          </w:rPr>
        </w:r>
        <w:r w:rsidR="00EB73CB" w:rsidRPr="00EB73CB">
          <w:rPr>
            <w:rFonts w:ascii="Arial" w:hAnsi="Arial" w:cs="Arial"/>
            <w:noProof/>
            <w:webHidden/>
            <w:sz w:val="24"/>
            <w:szCs w:val="24"/>
          </w:rPr>
          <w:fldChar w:fldCharType="separate"/>
        </w:r>
        <w:r w:rsidR="003A7CEA">
          <w:rPr>
            <w:rFonts w:ascii="Arial" w:hAnsi="Arial" w:cs="Arial"/>
            <w:noProof/>
            <w:webHidden/>
            <w:sz w:val="24"/>
            <w:szCs w:val="24"/>
          </w:rPr>
          <w:t>16</w:t>
        </w:r>
        <w:r w:rsidR="00EB73CB" w:rsidRPr="00EB73CB">
          <w:rPr>
            <w:rFonts w:ascii="Arial" w:hAnsi="Arial" w:cs="Arial"/>
            <w:noProof/>
            <w:webHidden/>
            <w:sz w:val="24"/>
            <w:szCs w:val="24"/>
          </w:rPr>
          <w:fldChar w:fldCharType="end"/>
        </w:r>
      </w:hyperlink>
    </w:p>
    <w:p w:rsidR="006A08E6" w:rsidRPr="006A08E6" w:rsidRDefault="006A08E6" w:rsidP="006A08E6">
      <w:pPr>
        <w:rPr>
          <w:rFonts w:eastAsiaTheme="minorEastAsia"/>
        </w:rPr>
      </w:pPr>
    </w:p>
    <w:p w:rsidR="00EB73CB" w:rsidRPr="006A08E6" w:rsidRDefault="00B74060" w:rsidP="006A08E6">
      <w:pPr>
        <w:pStyle w:val="Verzeichnis1"/>
        <w:tabs>
          <w:tab w:val="left" w:pos="567"/>
          <w:tab w:val="right" w:leader="dot" w:pos="9204"/>
        </w:tabs>
        <w:spacing w:line="276" w:lineRule="auto"/>
        <w:rPr>
          <w:rFonts w:ascii="Arial" w:eastAsiaTheme="minorEastAsia" w:hAnsi="Arial" w:cs="Arial"/>
          <w:b w:val="0"/>
          <w:bCs w:val="0"/>
          <w:caps w:val="0"/>
          <w:noProof/>
          <w:color w:val="E36C0A" w:themeColor="accent6" w:themeShade="BF"/>
          <w:sz w:val="24"/>
          <w:szCs w:val="24"/>
          <w:lang w:val="de-DE"/>
        </w:rPr>
      </w:pPr>
      <w:hyperlink w:anchor="_Toc116923163" w:history="1">
        <w:r w:rsidR="00EB73CB" w:rsidRPr="006A08E6">
          <w:rPr>
            <w:rStyle w:val="Hyperlink"/>
            <w:rFonts w:ascii="Arial" w:hAnsi="Arial" w:cs="Arial"/>
            <w:noProof/>
            <w:color w:val="E36C0A" w:themeColor="accent6" w:themeShade="BF"/>
            <w:sz w:val="24"/>
            <w:szCs w:val="24"/>
          </w:rPr>
          <w:t>Steuertipps für alle Steuerpflichtigen</w:t>
        </w:r>
        <w:r w:rsidR="00EB73CB" w:rsidRPr="006A08E6">
          <w:rPr>
            <w:rFonts w:ascii="Arial" w:hAnsi="Arial" w:cs="Arial"/>
            <w:noProof/>
            <w:webHidden/>
            <w:color w:val="E36C0A" w:themeColor="accent6" w:themeShade="BF"/>
            <w:sz w:val="24"/>
            <w:szCs w:val="24"/>
          </w:rPr>
          <w:tab/>
        </w:r>
        <w:r w:rsidR="00EB73CB" w:rsidRPr="006A08E6">
          <w:rPr>
            <w:rFonts w:ascii="Arial" w:hAnsi="Arial" w:cs="Arial"/>
            <w:noProof/>
            <w:webHidden/>
            <w:color w:val="E36C0A" w:themeColor="accent6" w:themeShade="BF"/>
            <w:sz w:val="24"/>
            <w:szCs w:val="24"/>
          </w:rPr>
          <w:fldChar w:fldCharType="begin"/>
        </w:r>
        <w:r w:rsidR="00EB73CB" w:rsidRPr="006A08E6">
          <w:rPr>
            <w:rFonts w:ascii="Arial" w:hAnsi="Arial" w:cs="Arial"/>
            <w:noProof/>
            <w:webHidden/>
            <w:color w:val="E36C0A" w:themeColor="accent6" w:themeShade="BF"/>
            <w:sz w:val="24"/>
            <w:szCs w:val="24"/>
          </w:rPr>
          <w:instrText xml:space="preserve"> PAGEREF _Toc116923163 \h </w:instrText>
        </w:r>
        <w:r w:rsidR="00EB73CB" w:rsidRPr="006A08E6">
          <w:rPr>
            <w:rFonts w:ascii="Arial" w:hAnsi="Arial" w:cs="Arial"/>
            <w:noProof/>
            <w:webHidden/>
            <w:color w:val="E36C0A" w:themeColor="accent6" w:themeShade="BF"/>
            <w:sz w:val="24"/>
            <w:szCs w:val="24"/>
          </w:rPr>
        </w:r>
        <w:r w:rsidR="00EB73CB" w:rsidRPr="006A08E6">
          <w:rPr>
            <w:rFonts w:ascii="Arial" w:hAnsi="Arial" w:cs="Arial"/>
            <w:noProof/>
            <w:webHidden/>
            <w:color w:val="E36C0A" w:themeColor="accent6" w:themeShade="BF"/>
            <w:sz w:val="24"/>
            <w:szCs w:val="24"/>
          </w:rPr>
          <w:fldChar w:fldCharType="separate"/>
        </w:r>
        <w:r w:rsidR="003A7CEA">
          <w:rPr>
            <w:rFonts w:ascii="Arial" w:hAnsi="Arial" w:cs="Arial"/>
            <w:noProof/>
            <w:webHidden/>
            <w:color w:val="E36C0A" w:themeColor="accent6" w:themeShade="BF"/>
            <w:sz w:val="24"/>
            <w:szCs w:val="24"/>
          </w:rPr>
          <w:t>17</w:t>
        </w:r>
        <w:r w:rsidR="00EB73CB" w:rsidRPr="006A08E6">
          <w:rPr>
            <w:rFonts w:ascii="Arial" w:hAnsi="Arial" w:cs="Arial"/>
            <w:noProof/>
            <w:webHidden/>
            <w:color w:val="E36C0A" w:themeColor="accent6" w:themeShade="BF"/>
            <w:sz w:val="24"/>
            <w:szCs w:val="24"/>
          </w:rPr>
          <w:fldChar w:fldCharType="end"/>
        </w:r>
      </w:hyperlink>
    </w:p>
    <w:p w:rsidR="00EB73CB" w:rsidRPr="00EB73CB" w:rsidRDefault="00752662" w:rsidP="00F9548A">
      <w:pPr>
        <w:pStyle w:val="Verzeichnis1"/>
        <w:tabs>
          <w:tab w:val="left" w:pos="567"/>
          <w:tab w:val="right" w:leader="dot" w:pos="9204"/>
        </w:tabs>
        <w:spacing w:line="276" w:lineRule="auto"/>
        <w:rPr>
          <w:rFonts w:ascii="Arial" w:eastAsiaTheme="minorEastAsia" w:hAnsi="Arial" w:cs="Arial"/>
          <w:b w:val="0"/>
          <w:bCs w:val="0"/>
          <w:caps w:val="0"/>
          <w:noProof/>
          <w:sz w:val="24"/>
          <w:szCs w:val="24"/>
          <w:lang w:val="de-DE"/>
        </w:rPr>
      </w:pPr>
      <w:r w:rsidRPr="006A08E6">
        <w:rPr>
          <w:rStyle w:val="Hyperlink"/>
          <w:rFonts w:ascii="Arial" w:hAnsi="Arial" w:cs="Arial"/>
          <w:b w:val="0"/>
          <w:bCs w:val="0"/>
          <w:noProof/>
          <w:color w:val="auto"/>
          <w:sz w:val="24"/>
          <w:szCs w:val="24"/>
          <w:u w:val="none"/>
        </w:rPr>
        <w:sym w:font="Wingdings" w:char="F070"/>
      </w:r>
      <w:r>
        <w:rPr>
          <w:rStyle w:val="Hyperlink"/>
          <w:rFonts w:ascii="Arial" w:hAnsi="Arial" w:cs="Arial"/>
          <w:b w:val="0"/>
          <w:bCs w:val="0"/>
          <w:noProof/>
          <w:color w:val="auto"/>
          <w:sz w:val="24"/>
          <w:szCs w:val="24"/>
          <w:u w:val="none"/>
        </w:rPr>
        <w:t xml:space="preserve"> </w:t>
      </w:r>
      <w:hyperlink w:anchor="_Toc116923164" w:history="1">
        <w:r w:rsidR="00EB73CB" w:rsidRPr="00EB73CB">
          <w:rPr>
            <w:rStyle w:val="Hyperlink"/>
            <w:rFonts w:ascii="Arial" w:hAnsi="Arial" w:cs="Arial"/>
            <w:noProof/>
            <w:color w:val="auto"/>
            <w:sz w:val="24"/>
            <w:szCs w:val="24"/>
          </w:rPr>
          <w:t>1</w:t>
        </w:r>
        <w:r w:rsidR="00EB73CB" w:rsidRPr="00EB73CB">
          <w:rPr>
            <w:rFonts w:ascii="Arial" w:eastAsiaTheme="minorEastAsia" w:hAnsi="Arial" w:cs="Arial"/>
            <w:b w:val="0"/>
            <w:bCs w:val="0"/>
            <w:caps w:val="0"/>
            <w:noProof/>
            <w:sz w:val="24"/>
            <w:szCs w:val="24"/>
            <w:lang w:val="de-DE"/>
          </w:rPr>
          <w:tab/>
        </w:r>
        <w:r w:rsidR="00EB73CB" w:rsidRPr="00EB73CB">
          <w:rPr>
            <w:rStyle w:val="Hyperlink"/>
            <w:rFonts w:ascii="Arial" w:hAnsi="Arial" w:cs="Arial"/>
            <w:noProof/>
            <w:color w:val="auto"/>
            <w:sz w:val="24"/>
            <w:szCs w:val="24"/>
          </w:rPr>
          <w:t>Sonderausgaben noch 2022 bezahlen</w:t>
        </w:r>
        <w:r w:rsidR="00EB73CB" w:rsidRPr="00EB73CB">
          <w:rPr>
            <w:rFonts w:ascii="Arial" w:hAnsi="Arial" w:cs="Arial"/>
            <w:noProof/>
            <w:webHidden/>
            <w:sz w:val="24"/>
            <w:szCs w:val="24"/>
          </w:rPr>
          <w:tab/>
        </w:r>
        <w:r w:rsidR="00EB73CB" w:rsidRPr="00EB73CB">
          <w:rPr>
            <w:rFonts w:ascii="Arial" w:hAnsi="Arial" w:cs="Arial"/>
            <w:noProof/>
            <w:webHidden/>
            <w:sz w:val="24"/>
            <w:szCs w:val="24"/>
          </w:rPr>
          <w:fldChar w:fldCharType="begin"/>
        </w:r>
        <w:r w:rsidR="00EB73CB" w:rsidRPr="00EB73CB">
          <w:rPr>
            <w:rFonts w:ascii="Arial" w:hAnsi="Arial" w:cs="Arial"/>
            <w:noProof/>
            <w:webHidden/>
            <w:sz w:val="24"/>
            <w:szCs w:val="24"/>
          </w:rPr>
          <w:instrText xml:space="preserve"> PAGEREF _Toc116923164 \h </w:instrText>
        </w:r>
        <w:r w:rsidR="00EB73CB" w:rsidRPr="00EB73CB">
          <w:rPr>
            <w:rFonts w:ascii="Arial" w:hAnsi="Arial" w:cs="Arial"/>
            <w:noProof/>
            <w:webHidden/>
            <w:sz w:val="24"/>
            <w:szCs w:val="24"/>
          </w:rPr>
        </w:r>
        <w:r w:rsidR="00EB73CB" w:rsidRPr="00EB73CB">
          <w:rPr>
            <w:rFonts w:ascii="Arial" w:hAnsi="Arial" w:cs="Arial"/>
            <w:noProof/>
            <w:webHidden/>
            <w:sz w:val="24"/>
            <w:szCs w:val="24"/>
          </w:rPr>
          <w:fldChar w:fldCharType="separate"/>
        </w:r>
        <w:r w:rsidR="003A7CEA">
          <w:rPr>
            <w:rFonts w:ascii="Arial" w:hAnsi="Arial" w:cs="Arial"/>
            <w:noProof/>
            <w:webHidden/>
            <w:sz w:val="24"/>
            <w:szCs w:val="24"/>
          </w:rPr>
          <w:t>17</w:t>
        </w:r>
        <w:r w:rsidR="00EB73CB" w:rsidRPr="00EB73CB">
          <w:rPr>
            <w:rFonts w:ascii="Arial" w:hAnsi="Arial" w:cs="Arial"/>
            <w:noProof/>
            <w:webHidden/>
            <w:sz w:val="24"/>
            <w:szCs w:val="24"/>
          </w:rPr>
          <w:fldChar w:fldCharType="end"/>
        </w:r>
      </w:hyperlink>
    </w:p>
    <w:p w:rsidR="00EB73CB" w:rsidRPr="00EB73CB" w:rsidRDefault="00752662" w:rsidP="00F9548A">
      <w:pPr>
        <w:pStyle w:val="Verzeichnis2"/>
        <w:rPr>
          <w:rFonts w:eastAsiaTheme="minorEastAsia"/>
          <w:lang w:val="de-DE"/>
        </w:rPr>
      </w:pPr>
      <w:r w:rsidRPr="00752662">
        <w:rPr>
          <w:rStyle w:val="Hyperlink"/>
          <w:color w:val="auto"/>
          <w:u w:val="none"/>
        </w:rPr>
        <w:sym w:font="Wingdings" w:char="F070"/>
      </w:r>
      <w:r>
        <w:rPr>
          <w:rStyle w:val="Hyperlink"/>
          <w:b/>
          <w:bCs/>
          <w:color w:val="auto"/>
          <w:u w:val="none"/>
        </w:rPr>
        <w:t xml:space="preserve"> </w:t>
      </w:r>
      <w:hyperlink w:anchor="_Toc116923165" w:history="1">
        <w:r w:rsidR="00EB73CB" w:rsidRPr="00EB73CB">
          <w:rPr>
            <w:rStyle w:val="Hyperlink"/>
            <w:color w:val="auto"/>
          </w:rPr>
          <w:t>1.1</w:t>
        </w:r>
        <w:r>
          <w:rPr>
            <w:rStyle w:val="Hyperlink"/>
            <w:color w:val="auto"/>
          </w:rPr>
          <w:t xml:space="preserve"> </w:t>
        </w:r>
        <w:r w:rsidR="00EB73CB" w:rsidRPr="00EB73CB">
          <w:rPr>
            <w:rStyle w:val="Hyperlink"/>
            <w:color w:val="auto"/>
          </w:rPr>
          <w:t xml:space="preserve">Nachkauf von Pensionsversicherungszeiten und freiwillige </w:t>
        </w:r>
        <w:r>
          <w:rPr>
            <w:rStyle w:val="Hyperlink"/>
            <w:color w:val="auto"/>
          </w:rPr>
          <w:t xml:space="preserve">  </w:t>
        </w:r>
        <w:r w:rsidR="00EB73CB" w:rsidRPr="00EB73CB">
          <w:rPr>
            <w:rStyle w:val="Hyperlink"/>
            <w:color w:val="auto"/>
          </w:rPr>
          <w:t>Weiterversicherung in der Pensionsversicherung</w:t>
        </w:r>
        <w:r w:rsidR="00EB73CB" w:rsidRPr="00EB73CB">
          <w:rPr>
            <w:webHidden/>
          </w:rPr>
          <w:tab/>
        </w:r>
        <w:r w:rsidR="00EB73CB" w:rsidRPr="00EB73CB">
          <w:rPr>
            <w:webHidden/>
          </w:rPr>
          <w:fldChar w:fldCharType="begin"/>
        </w:r>
        <w:r w:rsidR="00EB73CB" w:rsidRPr="00EB73CB">
          <w:rPr>
            <w:webHidden/>
          </w:rPr>
          <w:instrText xml:space="preserve"> PAGEREF _Toc116923165 \h </w:instrText>
        </w:r>
        <w:r w:rsidR="00EB73CB" w:rsidRPr="00EB73CB">
          <w:rPr>
            <w:webHidden/>
          </w:rPr>
        </w:r>
        <w:r w:rsidR="00EB73CB" w:rsidRPr="00EB73CB">
          <w:rPr>
            <w:webHidden/>
          </w:rPr>
          <w:fldChar w:fldCharType="separate"/>
        </w:r>
        <w:r w:rsidR="003A7CEA">
          <w:rPr>
            <w:webHidden/>
          </w:rPr>
          <w:t>17</w:t>
        </w:r>
        <w:r w:rsidR="00EB73CB" w:rsidRPr="00EB73CB">
          <w:rPr>
            <w:webHidden/>
          </w:rPr>
          <w:fldChar w:fldCharType="end"/>
        </w:r>
      </w:hyperlink>
    </w:p>
    <w:p w:rsidR="00EB73CB" w:rsidRPr="00EB73CB" w:rsidRDefault="00752662" w:rsidP="00F9548A">
      <w:pPr>
        <w:pStyle w:val="Verzeichnis2"/>
        <w:rPr>
          <w:rFonts w:eastAsiaTheme="minorEastAsia"/>
          <w:lang w:val="de-DE"/>
        </w:rPr>
      </w:pPr>
      <w:r w:rsidRPr="00752662">
        <w:rPr>
          <w:rStyle w:val="Hyperlink"/>
          <w:color w:val="auto"/>
          <w:u w:val="none"/>
        </w:rPr>
        <w:sym w:font="Wingdings" w:char="F070"/>
      </w:r>
      <w:r>
        <w:rPr>
          <w:rStyle w:val="Hyperlink"/>
          <w:b/>
          <w:bCs/>
          <w:color w:val="auto"/>
          <w:u w:val="none"/>
        </w:rPr>
        <w:t xml:space="preserve"> </w:t>
      </w:r>
      <w:hyperlink w:anchor="_Toc116923166" w:history="1">
        <w:r w:rsidR="00EB73CB" w:rsidRPr="00EB73CB">
          <w:rPr>
            <w:rStyle w:val="Hyperlink"/>
            <w:color w:val="auto"/>
          </w:rPr>
          <w:t>1.2</w:t>
        </w:r>
        <w:r>
          <w:rPr>
            <w:rStyle w:val="Hyperlink"/>
            <w:color w:val="auto"/>
          </w:rPr>
          <w:t xml:space="preserve"> </w:t>
        </w:r>
        <w:r w:rsidR="00EB73CB" w:rsidRPr="00EB73CB">
          <w:rPr>
            <w:rStyle w:val="Hyperlink"/>
            <w:color w:val="auto"/>
          </w:rPr>
          <w:t>Renten, Steuerberatungskosten und Kirchenbeitrag</w:t>
        </w:r>
        <w:r w:rsidR="00EB73CB" w:rsidRPr="00EB73CB">
          <w:rPr>
            <w:webHidden/>
          </w:rPr>
          <w:tab/>
        </w:r>
        <w:r w:rsidR="00EB73CB" w:rsidRPr="00EB73CB">
          <w:rPr>
            <w:webHidden/>
          </w:rPr>
          <w:fldChar w:fldCharType="begin"/>
        </w:r>
        <w:r w:rsidR="00EB73CB" w:rsidRPr="00EB73CB">
          <w:rPr>
            <w:webHidden/>
          </w:rPr>
          <w:instrText xml:space="preserve"> PAGEREF _Toc116923166 \h </w:instrText>
        </w:r>
        <w:r w:rsidR="00EB73CB" w:rsidRPr="00EB73CB">
          <w:rPr>
            <w:webHidden/>
          </w:rPr>
        </w:r>
        <w:r w:rsidR="00EB73CB" w:rsidRPr="00EB73CB">
          <w:rPr>
            <w:webHidden/>
          </w:rPr>
          <w:fldChar w:fldCharType="separate"/>
        </w:r>
        <w:r w:rsidR="003A7CEA">
          <w:rPr>
            <w:webHidden/>
          </w:rPr>
          <w:t>17</w:t>
        </w:r>
        <w:r w:rsidR="00EB73CB" w:rsidRPr="00EB73CB">
          <w:rPr>
            <w:webHidden/>
          </w:rPr>
          <w:fldChar w:fldCharType="end"/>
        </w:r>
      </w:hyperlink>
    </w:p>
    <w:p w:rsidR="00EB73CB" w:rsidRPr="00EB73CB" w:rsidRDefault="00752662" w:rsidP="00F9548A">
      <w:pPr>
        <w:pStyle w:val="Verzeichnis2"/>
        <w:rPr>
          <w:rFonts w:eastAsiaTheme="minorEastAsia"/>
          <w:lang w:val="de-DE"/>
        </w:rPr>
      </w:pPr>
      <w:r w:rsidRPr="00752662">
        <w:rPr>
          <w:rStyle w:val="Hyperlink"/>
          <w:color w:val="auto"/>
          <w:u w:val="none"/>
        </w:rPr>
        <w:sym w:font="Wingdings" w:char="F070"/>
      </w:r>
      <w:r>
        <w:rPr>
          <w:rStyle w:val="Hyperlink"/>
          <w:b/>
          <w:bCs/>
          <w:color w:val="auto"/>
          <w:u w:val="none"/>
        </w:rPr>
        <w:t xml:space="preserve"> </w:t>
      </w:r>
      <w:hyperlink w:anchor="_Toc116923167" w:history="1">
        <w:r w:rsidR="00EB73CB" w:rsidRPr="00EB73CB">
          <w:rPr>
            <w:rStyle w:val="Hyperlink"/>
            <w:color w:val="auto"/>
          </w:rPr>
          <w:t>1.3</w:t>
        </w:r>
        <w:r>
          <w:rPr>
            <w:rStyle w:val="Hyperlink"/>
            <w:color w:val="auto"/>
          </w:rPr>
          <w:t xml:space="preserve"> </w:t>
        </w:r>
        <w:r w:rsidR="00EB73CB" w:rsidRPr="00EB73CB">
          <w:rPr>
            <w:rStyle w:val="Hyperlink"/>
            <w:color w:val="auto"/>
          </w:rPr>
          <w:t>Spenden als Sonderausgaben</w:t>
        </w:r>
        <w:r w:rsidR="00EB73CB" w:rsidRPr="00EB73CB">
          <w:rPr>
            <w:webHidden/>
          </w:rPr>
          <w:tab/>
        </w:r>
        <w:r w:rsidR="00EB73CB" w:rsidRPr="00EB73CB">
          <w:rPr>
            <w:webHidden/>
          </w:rPr>
          <w:fldChar w:fldCharType="begin"/>
        </w:r>
        <w:r w:rsidR="00EB73CB" w:rsidRPr="00EB73CB">
          <w:rPr>
            <w:webHidden/>
          </w:rPr>
          <w:instrText xml:space="preserve"> PAGEREF _Toc116923167 \h </w:instrText>
        </w:r>
        <w:r w:rsidR="00EB73CB" w:rsidRPr="00EB73CB">
          <w:rPr>
            <w:webHidden/>
          </w:rPr>
        </w:r>
        <w:r w:rsidR="00EB73CB" w:rsidRPr="00EB73CB">
          <w:rPr>
            <w:webHidden/>
          </w:rPr>
          <w:fldChar w:fldCharType="separate"/>
        </w:r>
        <w:r w:rsidR="003A7CEA">
          <w:rPr>
            <w:webHidden/>
          </w:rPr>
          <w:t>17</w:t>
        </w:r>
        <w:r w:rsidR="00EB73CB" w:rsidRPr="00EB73CB">
          <w:rPr>
            <w:webHidden/>
          </w:rPr>
          <w:fldChar w:fldCharType="end"/>
        </w:r>
      </w:hyperlink>
    </w:p>
    <w:p w:rsidR="00EB73CB" w:rsidRPr="00EB73CB" w:rsidRDefault="00752662" w:rsidP="00F9548A">
      <w:pPr>
        <w:pStyle w:val="Verzeichnis2"/>
        <w:rPr>
          <w:rFonts w:eastAsiaTheme="minorEastAsia"/>
          <w:lang w:val="de-DE"/>
        </w:rPr>
      </w:pPr>
      <w:r w:rsidRPr="00752662">
        <w:rPr>
          <w:rStyle w:val="Hyperlink"/>
          <w:color w:val="auto"/>
          <w:u w:val="none"/>
        </w:rPr>
        <w:sym w:font="Wingdings" w:char="F070"/>
      </w:r>
      <w:r>
        <w:rPr>
          <w:rStyle w:val="Hyperlink"/>
          <w:b/>
          <w:bCs/>
          <w:color w:val="auto"/>
          <w:u w:val="none"/>
        </w:rPr>
        <w:t xml:space="preserve"> </w:t>
      </w:r>
      <w:hyperlink w:anchor="_Toc116923168" w:history="1">
        <w:r w:rsidR="00EB73CB" w:rsidRPr="00EB73CB">
          <w:rPr>
            <w:rStyle w:val="Hyperlink"/>
            <w:color w:val="auto"/>
          </w:rPr>
          <w:t>1.4</w:t>
        </w:r>
        <w:r>
          <w:rPr>
            <w:rStyle w:val="Hyperlink"/>
            <w:color w:val="auto"/>
          </w:rPr>
          <w:t xml:space="preserve"> </w:t>
        </w:r>
        <w:r w:rsidR="00EB73CB" w:rsidRPr="00EB73CB">
          <w:rPr>
            <w:rStyle w:val="Hyperlink"/>
            <w:color w:val="auto"/>
          </w:rPr>
          <w:t>Öko-Sonderausgabenpauschale</w:t>
        </w:r>
        <w:r w:rsidR="00EB73CB" w:rsidRPr="00EB73CB">
          <w:rPr>
            <w:webHidden/>
          </w:rPr>
          <w:tab/>
        </w:r>
        <w:r w:rsidR="00EB73CB" w:rsidRPr="00EB73CB">
          <w:rPr>
            <w:webHidden/>
          </w:rPr>
          <w:fldChar w:fldCharType="begin"/>
        </w:r>
        <w:r w:rsidR="00EB73CB" w:rsidRPr="00EB73CB">
          <w:rPr>
            <w:webHidden/>
          </w:rPr>
          <w:instrText xml:space="preserve"> PAGEREF _Toc116923168 \h </w:instrText>
        </w:r>
        <w:r w:rsidR="00EB73CB" w:rsidRPr="00EB73CB">
          <w:rPr>
            <w:webHidden/>
          </w:rPr>
        </w:r>
        <w:r w:rsidR="00EB73CB" w:rsidRPr="00EB73CB">
          <w:rPr>
            <w:webHidden/>
          </w:rPr>
          <w:fldChar w:fldCharType="separate"/>
        </w:r>
        <w:r w:rsidR="003A7CEA">
          <w:rPr>
            <w:webHidden/>
          </w:rPr>
          <w:t>17</w:t>
        </w:r>
        <w:r w:rsidR="00EB73CB" w:rsidRPr="00EB73CB">
          <w:rPr>
            <w:webHidden/>
          </w:rPr>
          <w:fldChar w:fldCharType="end"/>
        </w:r>
      </w:hyperlink>
    </w:p>
    <w:p w:rsidR="00EB73CB" w:rsidRPr="00EB73CB" w:rsidRDefault="00752662" w:rsidP="00F9548A">
      <w:pPr>
        <w:pStyle w:val="Verzeichnis2"/>
        <w:spacing w:before="240"/>
        <w:rPr>
          <w:rFonts w:eastAsiaTheme="minorEastAsia"/>
          <w:lang w:val="de-DE"/>
        </w:rPr>
      </w:pPr>
      <w:r w:rsidRPr="00752662">
        <w:rPr>
          <w:rStyle w:val="Hyperlink"/>
          <w:color w:val="auto"/>
          <w:u w:val="none"/>
        </w:rPr>
        <w:sym w:font="Wingdings" w:char="F070"/>
      </w:r>
      <w:r>
        <w:rPr>
          <w:rStyle w:val="Hyperlink"/>
          <w:b/>
          <w:bCs/>
          <w:color w:val="auto"/>
          <w:u w:val="none"/>
        </w:rPr>
        <w:t xml:space="preserve"> </w:t>
      </w:r>
      <w:hyperlink w:anchor="_Toc116923169" w:history="1">
        <w:r w:rsidR="00EB73CB" w:rsidRPr="00EB73CB">
          <w:rPr>
            <w:rStyle w:val="Hyperlink"/>
            <w:b/>
            <w:caps/>
            <w:color w:val="auto"/>
          </w:rPr>
          <w:t>2</w:t>
        </w:r>
        <w:r w:rsidR="00EB73CB" w:rsidRPr="00EB73CB">
          <w:rPr>
            <w:rFonts w:eastAsiaTheme="minorEastAsia"/>
            <w:lang w:val="de-DE"/>
          </w:rPr>
          <w:tab/>
        </w:r>
        <w:r w:rsidR="00EB73CB" w:rsidRPr="00EB73CB">
          <w:rPr>
            <w:rStyle w:val="Hyperlink"/>
            <w:b/>
            <w:caps/>
            <w:color w:val="auto"/>
          </w:rPr>
          <w:t>Spenden von Privatstiftungen</w:t>
        </w:r>
        <w:r w:rsidR="00EB73CB" w:rsidRPr="00EB73CB">
          <w:rPr>
            <w:webHidden/>
          </w:rPr>
          <w:tab/>
        </w:r>
        <w:r w:rsidR="00EB73CB" w:rsidRPr="00EB73CB">
          <w:rPr>
            <w:webHidden/>
          </w:rPr>
          <w:fldChar w:fldCharType="begin"/>
        </w:r>
        <w:r w:rsidR="00EB73CB" w:rsidRPr="00EB73CB">
          <w:rPr>
            <w:webHidden/>
          </w:rPr>
          <w:instrText xml:space="preserve"> PAGEREF _Toc116923169 \h </w:instrText>
        </w:r>
        <w:r w:rsidR="00EB73CB" w:rsidRPr="00EB73CB">
          <w:rPr>
            <w:webHidden/>
          </w:rPr>
        </w:r>
        <w:r w:rsidR="00EB73CB" w:rsidRPr="00EB73CB">
          <w:rPr>
            <w:webHidden/>
          </w:rPr>
          <w:fldChar w:fldCharType="separate"/>
        </w:r>
        <w:r w:rsidR="003A7CEA">
          <w:rPr>
            <w:webHidden/>
          </w:rPr>
          <w:t>18</w:t>
        </w:r>
        <w:r w:rsidR="00EB73CB" w:rsidRPr="00EB73CB">
          <w:rPr>
            <w:webHidden/>
          </w:rPr>
          <w:fldChar w:fldCharType="end"/>
        </w:r>
      </w:hyperlink>
    </w:p>
    <w:p w:rsidR="00EB73CB" w:rsidRPr="00EB73CB" w:rsidRDefault="00752662" w:rsidP="00F9548A">
      <w:pPr>
        <w:pStyle w:val="Verzeichnis2"/>
        <w:spacing w:before="240"/>
        <w:rPr>
          <w:rFonts w:eastAsiaTheme="minorEastAsia"/>
          <w:lang w:val="de-DE"/>
        </w:rPr>
      </w:pPr>
      <w:r w:rsidRPr="00752662">
        <w:rPr>
          <w:rStyle w:val="Hyperlink"/>
          <w:color w:val="auto"/>
          <w:u w:val="none"/>
        </w:rPr>
        <w:sym w:font="Wingdings" w:char="F070"/>
      </w:r>
      <w:r>
        <w:rPr>
          <w:rStyle w:val="Hyperlink"/>
          <w:b/>
          <w:bCs/>
          <w:color w:val="auto"/>
          <w:u w:val="none"/>
        </w:rPr>
        <w:t xml:space="preserve"> </w:t>
      </w:r>
      <w:hyperlink w:anchor="_Toc116923170" w:history="1">
        <w:r w:rsidR="00EB73CB" w:rsidRPr="00EB73CB">
          <w:rPr>
            <w:rStyle w:val="Hyperlink"/>
            <w:b/>
            <w:caps/>
            <w:color w:val="auto"/>
          </w:rPr>
          <w:t>3</w:t>
        </w:r>
        <w:r w:rsidR="00EB73CB" w:rsidRPr="00EB73CB">
          <w:rPr>
            <w:rFonts w:eastAsiaTheme="minorEastAsia"/>
            <w:lang w:val="de-DE"/>
          </w:rPr>
          <w:tab/>
        </w:r>
        <w:r w:rsidR="00EB73CB" w:rsidRPr="00EB73CB">
          <w:rPr>
            <w:rStyle w:val="Hyperlink"/>
            <w:b/>
            <w:caps/>
            <w:color w:val="auto"/>
          </w:rPr>
          <w:t>Aussergewöhnliche Belastungen noch 2022 bezahlen</w:t>
        </w:r>
        <w:r w:rsidR="00EB73CB" w:rsidRPr="00EB73CB">
          <w:rPr>
            <w:webHidden/>
          </w:rPr>
          <w:tab/>
        </w:r>
        <w:r w:rsidR="00EB73CB" w:rsidRPr="00EB73CB">
          <w:rPr>
            <w:webHidden/>
          </w:rPr>
          <w:fldChar w:fldCharType="begin"/>
        </w:r>
        <w:r w:rsidR="00EB73CB" w:rsidRPr="00EB73CB">
          <w:rPr>
            <w:webHidden/>
          </w:rPr>
          <w:instrText xml:space="preserve"> PAGEREF _Toc116923170 \h </w:instrText>
        </w:r>
        <w:r w:rsidR="00EB73CB" w:rsidRPr="00EB73CB">
          <w:rPr>
            <w:webHidden/>
          </w:rPr>
        </w:r>
        <w:r w:rsidR="00EB73CB" w:rsidRPr="00EB73CB">
          <w:rPr>
            <w:webHidden/>
          </w:rPr>
          <w:fldChar w:fldCharType="separate"/>
        </w:r>
        <w:r w:rsidR="003A7CEA">
          <w:rPr>
            <w:webHidden/>
          </w:rPr>
          <w:t>18</w:t>
        </w:r>
        <w:r w:rsidR="00EB73CB" w:rsidRPr="00EB73CB">
          <w:rPr>
            <w:webHidden/>
          </w:rPr>
          <w:fldChar w:fldCharType="end"/>
        </w:r>
      </w:hyperlink>
    </w:p>
    <w:p w:rsidR="00EB73CB" w:rsidRPr="00EB73CB" w:rsidRDefault="00752662" w:rsidP="00F9548A">
      <w:pPr>
        <w:pStyle w:val="Verzeichnis2"/>
        <w:spacing w:before="240"/>
        <w:rPr>
          <w:rFonts w:eastAsiaTheme="minorEastAsia"/>
          <w:lang w:val="de-DE"/>
        </w:rPr>
      </w:pPr>
      <w:r w:rsidRPr="00752662">
        <w:rPr>
          <w:rStyle w:val="Hyperlink"/>
          <w:color w:val="auto"/>
          <w:u w:val="none"/>
        </w:rPr>
        <w:sym w:font="Wingdings" w:char="F070"/>
      </w:r>
      <w:r>
        <w:rPr>
          <w:rStyle w:val="Hyperlink"/>
          <w:color w:val="auto"/>
          <w:u w:val="none"/>
        </w:rPr>
        <w:t xml:space="preserve"> </w:t>
      </w:r>
      <w:hyperlink w:anchor="_Toc116923171" w:history="1">
        <w:r w:rsidR="00EB73CB" w:rsidRPr="00EB73CB">
          <w:rPr>
            <w:rStyle w:val="Hyperlink"/>
            <w:b/>
            <w:caps/>
            <w:color w:val="auto"/>
          </w:rPr>
          <w:t>4</w:t>
        </w:r>
        <w:r w:rsidR="00EB73CB" w:rsidRPr="00EB73CB">
          <w:rPr>
            <w:rFonts w:eastAsiaTheme="minorEastAsia"/>
            <w:lang w:val="de-DE"/>
          </w:rPr>
          <w:tab/>
        </w:r>
        <w:r w:rsidR="00EB73CB" w:rsidRPr="00EB73CB">
          <w:rPr>
            <w:rStyle w:val="Hyperlink"/>
            <w:b/>
            <w:caps/>
            <w:color w:val="auto"/>
          </w:rPr>
          <w:t>Wertpapierverluste realisieren</w:t>
        </w:r>
        <w:r w:rsidR="00EB73CB" w:rsidRPr="00EB73CB">
          <w:rPr>
            <w:webHidden/>
          </w:rPr>
          <w:tab/>
        </w:r>
        <w:r w:rsidR="00EB73CB" w:rsidRPr="00EB73CB">
          <w:rPr>
            <w:webHidden/>
          </w:rPr>
          <w:fldChar w:fldCharType="begin"/>
        </w:r>
        <w:r w:rsidR="00EB73CB" w:rsidRPr="00EB73CB">
          <w:rPr>
            <w:webHidden/>
          </w:rPr>
          <w:instrText xml:space="preserve"> PAGEREF _Toc116923171 \h </w:instrText>
        </w:r>
        <w:r w:rsidR="00EB73CB" w:rsidRPr="00EB73CB">
          <w:rPr>
            <w:webHidden/>
          </w:rPr>
        </w:r>
        <w:r w:rsidR="00EB73CB" w:rsidRPr="00EB73CB">
          <w:rPr>
            <w:webHidden/>
          </w:rPr>
          <w:fldChar w:fldCharType="separate"/>
        </w:r>
        <w:r w:rsidR="003A7CEA">
          <w:rPr>
            <w:webHidden/>
          </w:rPr>
          <w:t>18</w:t>
        </w:r>
        <w:r w:rsidR="00EB73CB" w:rsidRPr="00EB73CB">
          <w:rPr>
            <w:webHidden/>
          </w:rPr>
          <w:fldChar w:fldCharType="end"/>
        </w:r>
      </w:hyperlink>
    </w:p>
    <w:p w:rsidR="00EB73CB" w:rsidRPr="00EB73CB" w:rsidRDefault="00752662" w:rsidP="00F9548A">
      <w:pPr>
        <w:pStyle w:val="Verzeichnis2"/>
        <w:spacing w:before="240"/>
        <w:rPr>
          <w:rFonts w:eastAsiaTheme="minorEastAsia"/>
          <w:lang w:val="de-DE"/>
        </w:rPr>
      </w:pPr>
      <w:r w:rsidRPr="00752662">
        <w:rPr>
          <w:rStyle w:val="Hyperlink"/>
          <w:color w:val="auto"/>
          <w:u w:val="none"/>
        </w:rPr>
        <w:sym w:font="Wingdings" w:char="F070"/>
      </w:r>
      <w:r>
        <w:rPr>
          <w:rStyle w:val="Hyperlink"/>
          <w:color w:val="auto"/>
          <w:u w:val="none"/>
        </w:rPr>
        <w:t xml:space="preserve"> </w:t>
      </w:r>
      <w:hyperlink w:anchor="_Toc116923172" w:history="1">
        <w:r w:rsidR="00EB73CB" w:rsidRPr="00EB73CB">
          <w:rPr>
            <w:rStyle w:val="Hyperlink"/>
            <w:b/>
            <w:caps/>
          </w:rPr>
          <w:t>5</w:t>
        </w:r>
        <w:r w:rsidR="00EB73CB" w:rsidRPr="00EB73CB">
          <w:rPr>
            <w:rFonts w:eastAsiaTheme="minorEastAsia"/>
            <w:lang w:val="de-DE"/>
          </w:rPr>
          <w:tab/>
        </w:r>
        <w:r w:rsidR="00EB73CB" w:rsidRPr="00EB73CB">
          <w:rPr>
            <w:rStyle w:val="Hyperlink"/>
            <w:b/>
            <w:caps/>
          </w:rPr>
          <w:t>Prämie für Zukunftsvorsorge und Bausparen lukrieren</w:t>
        </w:r>
        <w:r w:rsidR="00EB73CB" w:rsidRPr="00EB73CB">
          <w:rPr>
            <w:webHidden/>
          </w:rPr>
          <w:tab/>
        </w:r>
        <w:r w:rsidR="00EB73CB" w:rsidRPr="00EB73CB">
          <w:rPr>
            <w:webHidden/>
          </w:rPr>
          <w:fldChar w:fldCharType="begin"/>
        </w:r>
        <w:r w:rsidR="00EB73CB" w:rsidRPr="00EB73CB">
          <w:rPr>
            <w:webHidden/>
          </w:rPr>
          <w:instrText xml:space="preserve"> PAGEREF _Toc116923172 \h </w:instrText>
        </w:r>
        <w:r w:rsidR="00EB73CB" w:rsidRPr="00EB73CB">
          <w:rPr>
            <w:webHidden/>
          </w:rPr>
        </w:r>
        <w:r w:rsidR="00EB73CB" w:rsidRPr="00EB73CB">
          <w:rPr>
            <w:webHidden/>
          </w:rPr>
          <w:fldChar w:fldCharType="separate"/>
        </w:r>
        <w:r w:rsidR="003A7CEA">
          <w:rPr>
            <w:webHidden/>
          </w:rPr>
          <w:t>19</w:t>
        </w:r>
        <w:r w:rsidR="00EB73CB" w:rsidRPr="00EB73CB">
          <w:rPr>
            <w:webHidden/>
          </w:rPr>
          <w:fldChar w:fldCharType="end"/>
        </w:r>
      </w:hyperlink>
    </w:p>
    <w:p w:rsidR="00333F51" w:rsidRDefault="008A7957" w:rsidP="007F3421">
      <w:pPr>
        <w:pStyle w:val="Verzeichnis1"/>
        <w:tabs>
          <w:tab w:val="right" w:leader="dot" w:pos="9204"/>
        </w:tabs>
        <w:spacing w:line="276" w:lineRule="auto"/>
      </w:pPr>
      <w:r w:rsidRPr="00EB73CB">
        <w:rPr>
          <w:rFonts w:ascii="Arial" w:hAnsi="Arial" w:cs="Arial"/>
          <w:sz w:val="24"/>
          <w:szCs w:val="24"/>
        </w:rPr>
        <w:fldChar w:fldCharType="end"/>
      </w:r>
    </w:p>
    <w:tbl>
      <w:tblPr>
        <w:tblW w:w="9214" w:type="dxa"/>
        <w:tblInd w:w="-5" w:type="dxa"/>
        <w:shd w:val="clear" w:color="auto" w:fill="D9D9D9" w:themeFill="background1" w:themeFillShade="D9"/>
        <w:tblLayout w:type="fixed"/>
        <w:tblLook w:val="0000" w:firstRow="0" w:lastRow="0" w:firstColumn="0" w:lastColumn="0" w:noHBand="0" w:noVBand="0"/>
      </w:tblPr>
      <w:tblGrid>
        <w:gridCol w:w="9214"/>
      </w:tblGrid>
      <w:tr w:rsidR="00B91056" w:rsidRPr="00137F05" w:rsidTr="00B952A7">
        <w:trPr>
          <w:cantSplit/>
        </w:trPr>
        <w:tc>
          <w:tcPr>
            <w:tcW w:w="92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91056" w:rsidRPr="00137F05" w:rsidRDefault="00B91056" w:rsidP="00B952A7">
            <w:pPr>
              <w:spacing w:line="276" w:lineRule="auto"/>
              <w:ind w:left="-142"/>
              <w:jc w:val="center"/>
              <w:outlineLvl w:val="0"/>
              <w:rPr>
                <w:rFonts w:cs="Arial"/>
                <w:b/>
                <w:sz w:val="40"/>
                <w:szCs w:val="40"/>
              </w:rPr>
            </w:pPr>
            <w:bookmarkStart w:id="1" w:name="_Toc306629691"/>
            <w:bookmarkStart w:id="2" w:name="_Toc306630488"/>
            <w:bookmarkStart w:id="3" w:name="_Toc306632112"/>
            <w:bookmarkStart w:id="4" w:name="_Toc306800343"/>
            <w:bookmarkStart w:id="5" w:name="_Toc116494048"/>
            <w:bookmarkStart w:id="6" w:name="_Toc116923124"/>
            <w:r w:rsidRPr="00137F05">
              <w:rPr>
                <w:rFonts w:cs="Arial"/>
                <w:b/>
                <w:sz w:val="40"/>
                <w:szCs w:val="40"/>
              </w:rPr>
              <w:lastRenderedPageBreak/>
              <w:t>Steuertipps für Unternehmer</w:t>
            </w:r>
            <w:bookmarkEnd w:id="1"/>
            <w:bookmarkEnd w:id="2"/>
            <w:bookmarkEnd w:id="3"/>
            <w:bookmarkEnd w:id="4"/>
            <w:bookmarkEnd w:id="5"/>
            <w:bookmarkEnd w:id="6"/>
          </w:p>
        </w:tc>
      </w:tr>
    </w:tbl>
    <w:p w:rsidR="00B91056" w:rsidRPr="00D101C1" w:rsidRDefault="00B91056" w:rsidP="00752662">
      <w:pPr>
        <w:spacing w:line="276" w:lineRule="auto"/>
        <w:ind w:left="360" w:hanging="360"/>
        <w:jc w:val="both"/>
        <w:rPr>
          <w:rFonts w:cs="Arial"/>
        </w:rPr>
      </w:pPr>
    </w:p>
    <w:p w:rsidR="00432042" w:rsidRPr="009B2784" w:rsidRDefault="009B2784" w:rsidP="009B2784">
      <w:pPr>
        <w:pStyle w:val="berschrift1"/>
        <w:rPr>
          <w:color w:val="E36C0A" w:themeColor="accent6" w:themeShade="BF"/>
          <w:sz w:val="24"/>
          <w:szCs w:val="24"/>
          <w:u w:val="none"/>
        </w:rPr>
      </w:pPr>
      <w:bookmarkStart w:id="7" w:name="_Toc116494049"/>
      <w:bookmarkStart w:id="8" w:name="_Toc116923125"/>
      <w:r w:rsidRPr="009B2784">
        <w:rPr>
          <w:color w:val="E36C0A" w:themeColor="accent6" w:themeShade="BF"/>
          <w:sz w:val="24"/>
          <w:szCs w:val="24"/>
          <w:u w:val="none"/>
        </w:rPr>
        <w:t>WORAUF SIE BEI INVESTITIONEN IM JAHR 2022 ACHTEN SOLLTEN</w:t>
      </w:r>
      <w:bookmarkEnd w:id="7"/>
      <w:bookmarkEnd w:id="8"/>
    </w:p>
    <w:p w:rsidR="000B65FE" w:rsidRPr="002903A7" w:rsidRDefault="00554341" w:rsidP="003D7D72">
      <w:pPr>
        <w:spacing w:line="276" w:lineRule="auto"/>
        <w:jc w:val="both"/>
        <w:rPr>
          <w:rFonts w:cs="Arial"/>
          <w:bCs/>
        </w:rPr>
      </w:pPr>
      <w:r>
        <w:rPr>
          <w:rFonts w:cs="Arial"/>
          <w:bCs/>
        </w:rPr>
        <w:t>In diesem Jahr gibt es wieder einige Besonderheiten, die bei noch geplanten Investitionen zu beachten sind</w:t>
      </w:r>
      <w:r w:rsidR="00432042" w:rsidRPr="002903A7">
        <w:rPr>
          <w:rFonts w:cs="Arial"/>
          <w:bCs/>
        </w:rPr>
        <w:t>: degressive Abschreibung, beschleunigte Abschreibung bei Gebäuden</w:t>
      </w:r>
      <w:r w:rsidR="005520C3">
        <w:rPr>
          <w:rFonts w:cs="Arial"/>
          <w:bCs/>
        </w:rPr>
        <w:t xml:space="preserve"> </w:t>
      </w:r>
      <w:r w:rsidR="00432042" w:rsidRPr="002903A7">
        <w:rPr>
          <w:rFonts w:cs="Arial"/>
          <w:bCs/>
        </w:rPr>
        <w:t>und investitionsbedingter Gewinnfreibetrag</w:t>
      </w:r>
      <w:r w:rsidR="0057162D">
        <w:rPr>
          <w:rFonts w:cs="Arial"/>
          <w:bCs/>
        </w:rPr>
        <w:t>.</w:t>
      </w:r>
    </w:p>
    <w:p w:rsidR="00432042" w:rsidRPr="00D101C1" w:rsidRDefault="00432042" w:rsidP="007320CC">
      <w:pPr>
        <w:pStyle w:val="berschrift2"/>
        <w:tabs>
          <w:tab w:val="clear" w:pos="1002"/>
          <w:tab w:val="num" w:pos="993"/>
        </w:tabs>
        <w:spacing w:line="276" w:lineRule="auto"/>
        <w:ind w:left="426" w:hanging="426"/>
        <w:jc w:val="both"/>
        <w:rPr>
          <w:rFonts w:cs="Arial"/>
          <w:lang w:val="de-DE"/>
        </w:rPr>
      </w:pPr>
      <w:bookmarkStart w:id="9" w:name="_Toc52657024"/>
      <w:bookmarkStart w:id="10" w:name="_Toc52663263"/>
      <w:bookmarkStart w:id="11" w:name="_Toc116494050"/>
      <w:bookmarkStart w:id="12" w:name="_Toc116923126"/>
      <w:r w:rsidRPr="00D101C1">
        <w:rPr>
          <w:rFonts w:cs="Arial"/>
          <w:lang w:val="de-DE"/>
        </w:rPr>
        <w:t>Degressive Abschreibung</w:t>
      </w:r>
      <w:bookmarkEnd w:id="9"/>
      <w:bookmarkEnd w:id="10"/>
      <w:bookmarkEnd w:id="11"/>
      <w:bookmarkEnd w:id="12"/>
    </w:p>
    <w:p w:rsidR="00C70A6F" w:rsidRPr="00F75771" w:rsidRDefault="001F7760" w:rsidP="007A7F65">
      <w:pPr>
        <w:spacing w:after="60" w:line="276" w:lineRule="auto"/>
        <w:jc w:val="both"/>
        <w:rPr>
          <w:rFonts w:cs="Arial"/>
        </w:rPr>
      </w:pPr>
      <w:r w:rsidRPr="00F75771">
        <w:rPr>
          <w:rFonts w:cs="Arial"/>
        </w:rPr>
        <w:t xml:space="preserve">Für nach dem </w:t>
      </w:r>
      <w:r w:rsidR="00B53586" w:rsidRPr="00F75771">
        <w:rPr>
          <w:rFonts w:cs="Arial"/>
        </w:rPr>
        <w:t>30.6</w:t>
      </w:r>
      <w:r w:rsidRPr="00F75771">
        <w:rPr>
          <w:rFonts w:cs="Arial"/>
        </w:rPr>
        <w:t>.202</w:t>
      </w:r>
      <w:r w:rsidR="00216B27">
        <w:rPr>
          <w:rFonts w:cs="Arial"/>
        </w:rPr>
        <w:t>0</w:t>
      </w:r>
      <w:r w:rsidRPr="00F75771">
        <w:rPr>
          <w:rFonts w:cs="Arial"/>
        </w:rPr>
        <w:t xml:space="preserve"> angeschaffte oder hergestellte Wirtschaftsgüter </w:t>
      </w:r>
      <w:r w:rsidR="00C70A6F" w:rsidRPr="00F75771">
        <w:rPr>
          <w:rFonts w:cs="Arial"/>
        </w:rPr>
        <w:t xml:space="preserve">kann die Abschreibung mit einem unveränderlichen Prozentsatz von </w:t>
      </w:r>
      <w:r w:rsidR="00C70A6F" w:rsidRPr="00AB4EFE">
        <w:rPr>
          <w:rFonts w:cs="Arial"/>
          <w:b/>
        </w:rPr>
        <w:t>bis zu</w:t>
      </w:r>
      <w:r w:rsidR="00C70A6F" w:rsidRPr="00F75771">
        <w:rPr>
          <w:rFonts w:cs="Arial"/>
        </w:rPr>
        <w:t xml:space="preserve"> 30% vom jeweiligen (Rest)</w:t>
      </w:r>
      <w:r w:rsidR="005520C3">
        <w:rPr>
          <w:rFonts w:cs="Arial"/>
        </w:rPr>
        <w:t>b</w:t>
      </w:r>
      <w:r w:rsidR="00C70A6F" w:rsidRPr="00F75771">
        <w:rPr>
          <w:rFonts w:cs="Arial"/>
        </w:rPr>
        <w:t>uchwert erfolgen (=</w:t>
      </w:r>
      <w:r w:rsidR="00C70A6F" w:rsidRPr="00F75771">
        <w:rPr>
          <w:rFonts w:cs="Arial"/>
          <w:b/>
          <w:bCs/>
        </w:rPr>
        <w:t>degressive</w:t>
      </w:r>
      <w:r w:rsidR="00C70A6F" w:rsidRPr="00F75771">
        <w:rPr>
          <w:rFonts w:cs="Arial"/>
        </w:rPr>
        <w:t xml:space="preserve"> </w:t>
      </w:r>
      <w:r w:rsidR="00C70A6F" w:rsidRPr="00F75771">
        <w:rPr>
          <w:rFonts w:cs="Arial"/>
          <w:b/>
          <w:bCs/>
        </w:rPr>
        <w:t>Abschreibung</w:t>
      </w:r>
      <w:r w:rsidR="00C70A6F" w:rsidRPr="00F75771">
        <w:rPr>
          <w:rFonts w:cs="Arial"/>
        </w:rPr>
        <w:t xml:space="preserve">). Bei Inbetriebnahme in der zweiten Jahreshälfte steht </w:t>
      </w:r>
      <w:r w:rsidR="00554341">
        <w:rPr>
          <w:rFonts w:cs="Arial"/>
        </w:rPr>
        <w:t>eine Halbjahresabschreibung</w:t>
      </w:r>
      <w:r w:rsidR="00C70A6F" w:rsidRPr="00F75771">
        <w:rPr>
          <w:rFonts w:cs="Arial"/>
        </w:rPr>
        <w:t xml:space="preserve"> zu. Ausgenommen sind:</w:t>
      </w:r>
    </w:p>
    <w:p w:rsidR="00C70A6F" w:rsidRPr="00F75771" w:rsidRDefault="00C70A6F" w:rsidP="005349C1">
      <w:pPr>
        <w:pStyle w:val="Listenabsatz"/>
        <w:numPr>
          <w:ilvl w:val="0"/>
          <w:numId w:val="17"/>
        </w:numPr>
        <w:spacing w:line="276" w:lineRule="auto"/>
        <w:jc w:val="both"/>
        <w:rPr>
          <w:rFonts w:cs="Arial"/>
        </w:rPr>
      </w:pPr>
      <w:r w:rsidRPr="00F75771">
        <w:rPr>
          <w:rFonts w:cs="Arial"/>
        </w:rPr>
        <w:t>Gebäude und andere Wirtschaftsgüter, die Sonderabschreibungsregeln unterliegen</w:t>
      </w:r>
      <w:r w:rsidR="00F75771">
        <w:rPr>
          <w:rFonts w:cs="Arial"/>
        </w:rPr>
        <w:t>,</w:t>
      </w:r>
    </w:p>
    <w:p w:rsidR="00C70A6F" w:rsidRPr="00F75771" w:rsidRDefault="00C70A6F" w:rsidP="005349C1">
      <w:pPr>
        <w:pStyle w:val="Listenabsatz"/>
        <w:numPr>
          <w:ilvl w:val="0"/>
          <w:numId w:val="17"/>
        </w:numPr>
        <w:spacing w:line="276" w:lineRule="auto"/>
        <w:jc w:val="both"/>
        <w:rPr>
          <w:rFonts w:cs="Arial"/>
        </w:rPr>
      </w:pPr>
      <w:r w:rsidRPr="00F75771">
        <w:rPr>
          <w:rFonts w:cs="Arial"/>
        </w:rPr>
        <w:t>KFZ mit CO</w:t>
      </w:r>
      <w:r w:rsidRPr="00F75771">
        <w:rPr>
          <w:rFonts w:cs="Arial"/>
          <w:vertAlign w:val="subscript"/>
        </w:rPr>
        <w:t>2</w:t>
      </w:r>
      <w:r w:rsidRPr="00F75771">
        <w:rPr>
          <w:rFonts w:cs="Arial"/>
        </w:rPr>
        <w:t>-Emissionswerten von mehr als 0 g/km</w:t>
      </w:r>
      <w:r w:rsidR="00F75771">
        <w:rPr>
          <w:rFonts w:cs="Arial"/>
        </w:rPr>
        <w:t>,</w:t>
      </w:r>
    </w:p>
    <w:p w:rsidR="00984868" w:rsidRPr="00F75771" w:rsidRDefault="00984868" w:rsidP="005349C1">
      <w:pPr>
        <w:pStyle w:val="Listenabsatz"/>
        <w:numPr>
          <w:ilvl w:val="0"/>
          <w:numId w:val="17"/>
        </w:numPr>
        <w:spacing w:line="276" w:lineRule="auto"/>
        <w:jc w:val="both"/>
        <w:rPr>
          <w:rFonts w:cs="Arial"/>
        </w:rPr>
      </w:pPr>
      <w:r w:rsidRPr="00F75771">
        <w:rPr>
          <w:rFonts w:cs="Arial"/>
        </w:rPr>
        <w:t>unkörperliche Wirtschaftsgüter, die nicht den Bereichen Digitalisierung, Ökologisierung und Gesundheit/Life-Science zuzuordnen sind</w:t>
      </w:r>
      <w:r w:rsidR="00F9548A">
        <w:rPr>
          <w:rFonts w:cs="Arial"/>
        </w:rPr>
        <w:t>,</w:t>
      </w:r>
    </w:p>
    <w:p w:rsidR="00C70A6F" w:rsidRPr="00F75771" w:rsidRDefault="00C70A6F" w:rsidP="005349C1">
      <w:pPr>
        <w:pStyle w:val="Listenabsatz"/>
        <w:numPr>
          <w:ilvl w:val="0"/>
          <w:numId w:val="17"/>
        </w:numPr>
        <w:spacing w:line="276" w:lineRule="auto"/>
        <w:jc w:val="both"/>
        <w:rPr>
          <w:rFonts w:cs="Arial"/>
        </w:rPr>
      </w:pPr>
      <w:r w:rsidRPr="00F75771">
        <w:rPr>
          <w:rFonts w:cs="Arial"/>
        </w:rPr>
        <w:t>gebrauchte Wirtschaftsgüter</w:t>
      </w:r>
      <w:r w:rsidR="00F75771">
        <w:rPr>
          <w:rFonts w:cs="Arial"/>
        </w:rPr>
        <w:t>,</w:t>
      </w:r>
    </w:p>
    <w:p w:rsidR="00C70A6F" w:rsidRPr="00F75771" w:rsidRDefault="00C70A6F" w:rsidP="005349C1">
      <w:pPr>
        <w:pStyle w:val="Listenabsatz"/>
        <w:numPr>
          <w:ilvl w:val="0"/>
          <w:numId w:val="17"/>
        </w:numPr>
        <w:spacing w:line="276" w:lineRule="auto"/>
        <w:jc w:val="both"/>
        <w:rPr>
          <w:rFonts w:cs="Arial"/>
        </w:rPr>
      </w:pPr>
      <w:r w:rsidRPr="00F75771">
        <w:rPr>
          <w:rFonts w:cs="Arial"/>
        </w:rPr>
        <w:t>Anlagen zur Förderung, Transport, Speicherung oder Nutzung fossiler Energieträger.</w:t>
      </w:r>
    </w:p>
    <w:p w:rsidR="003D7D72" w:rsidRDefault="00C70A6F" w:rsidP="003D7D72">
      <w:pPr>
        <w:spacing w:line="276" w:lineRule="auto"/>
        <w:jc w:val="both"/>
        <w:rPr>
          <w:rFonts w:cs="Arial"/>
        </w:rPr>
      </w:pPr>
      <w:r w:rsidRPr="00F75771">
        <w:rPr>
          <w:rFonts w:cs="Arial"/>
        </w:rPr>
        <w:t xml:space="preserve">Die höhere Abschreibung zu Beginn der Nutzungsdauer führt bei langlebigen Wirtschaftsgütern zu Liquiditätsvorteilen, da mit dem Höchstsatz von 30% nach zwei Jahren bereits 51% und nach drei Jahren rd 66% abgeschrieben sind. Ein einmaliger Wechsel von degressiver zu linearer Abschreibung ist möglich und wird sinnvoll sein, wenn die lineare Abschreibung nach einigen Jahren höher ist als die degressive. </w:t>
      </w:r>
    </w:p>
    <w:p w:rsidR="0057162D" w:rsidRDefault="0057162D" w:rsidP="003D7D72">
      <w:pPr>
        <w:spacing w:line="276" w:lineRule="auto"/>
        <w:jc w:val="both"/>
        <w:rPr>
          <w:rFonts w:cs="Arial"/>
        </w:rPr>
      </w:pPr>
    </w:p>
    <w:p w:rsidR="00C70A6F" w:rsidRDefault="003D7D72" w:rsidP="007A7F65">
      <w:pPr>
        <w:shd w:val="clear" w:color="auto" w:fill="FBD4B4" w:themeFill="accent6" w:themeFillTint="66"/>
        <w:spacing w:line="276" w:lineRule="auto"/>
        <w:jc w:val="both"/>
        <w:rPr>
          <w:shd w:val="clear" w:color="auto" w:fill="FBD4B4" w:themeFill="accent6" w:themeFillTint="66"/>
        </w:rPr>
      </w:pPr>
      <w:r w:rsidRPr="003D7D72">
        <w:rPr>
          <w:b/>
          <w:bCs/>
          <w:shd w:val="clear" w:color="auto" w:fill="FBD4B4" w:themeFill="accent6" w:themeFillTint="66"/>
        </w:rPr>
        <w:t>TIPP</w:t>
      </w:r>
      <w:r w:rsidRPr="003D7D72">
        <w:rPr>
          <w:shd w:val="clear" w:color="auto" w:fill="FBD4B4" w:themeFill="accent6" w:themeFillTint="66"/>
        </w:rPr>
        <w:t xml:space="preserve">: </w:t>
      </w:r>
      <w:r w:rsidR="00B122D5" w:rsidRPr="003D7D72">
        <w:rPr>
          <w:shd w:val="clear" w:color="auto" w:fill="FBD4B4" w:themeFill="accent6" w:themeFillTint="66"/>
        </w:rPr>
        <w:t xml:space="preserve">Die </w:t>
      </w:r>
      <w:r w:rsidR="009D623B">
        <w:rPr>
          <w:shd w:val="clear" w:color="auto" w:fill="FBD4B4" w:themeFill="accent6" w:themeFillTint="66"/>
        </w:rPr>
        <w:t xml:space="preserve">degressive Abschreibung kann bis zum 31.12.2022 </w:t>
      </w:r>
      <w:r w:rsidR="00B122D5" w:rsidRPr="003D7D72">
        <w:rPr>
          <w:shd w:val="clear" w:color="auto" w:fill="FBD4B4" w:themeFill="accent6" w:themeFillTint="66"/>
        </w:rPr>
        <w:t xml:space="preserve">unabhängig vom Unternehmensrecht </w:t>
      </w:r>
      <w:r w:rsidR="009D623B">
        <w:rPr>
          <w:shd w:val="clear" w:color="auto" w:fill="FBD4B4" w:themeFill="accent6" w:themeFillTint="66"/>
        </w:rPr>
        <w:t>gewählt werden</w:t>
      </w:r>
      <w:r w:rsidR="00984868" w:rsidRPr="003D7D72">
        <w:rPr>
          <w:shd w:val="clear" w:color="auto" w:fill="FBD4B4" w:themeFill="accent6" w:themeFillTint="66"/>
        </w:rPr>
        <w:t>.</w:t>
      </w:r>
      <w:r w:rsidR="00C70A6F" w:rsidRPr="003D7D72">
        <w:rPr>
          <w:shd w:val="clear" w:color="auto" w:fill="FBD4B4" w:themeFill="accent6" w:themeFillTint="66"/>
        </w:rPr>
        <w:t xml:space="preserve"> </w:t>
      </w:r>
      <w:r w:rsidR="00554341">
        <w:rPr>
          <w:shd w:val="clear" w:color="auto" w:fill="FBD4B4" w:themeFill="accent6" w:themeFillTint="66"/>
        </w:rPr>
        <w:t xml:space="preserve">Für ab </w:t>
      </w:r>
      <w:r w:rsidR="00BD7DAC" w:rsidRPr="003D7D72">
        <w:rPr>
          <w:shd w:val="clear" w:color="auto" w:fill="FBD4B4" w:themeFill="accent6" w:themeFillTint="66"/>
        </w:rPr>
        <w:t xml:space="preserve">dem 1.1.2023 angeschaffte oder hergestellte Anlagegüter </w:t>
      </w:r>
      <w:r w:rsidR="00554341">
        <w:rPr>
          <w:shd w:val="clear" w:color="auto" w:fill="FBD4B4" w:themeFill="accent6" w:themeFillTint="66"/>
        </w:rPr>
        <w:t>muss dann steuerlich wieder die gleiche Abschreibungsmethode wie im unternehmensrechtlichen Jahresabschluss gewählt werden.</w:t>
      </w:r>
    </w:p>
    <w:p w:rsidR="0057162D" w:rsidRPr="00F75771" w:rsidRDefault="0057162D" w:rsidP="0057162D">
      <w:pPr>
        <w:jc w:val="both"/>
      </w:pPr>
    </w:p>
    <w:p w:rsidR="00432042" w:rsidRPr="002903A7" w:rsidRDefault="00432042" w:rsidP="007320CC">
      <w:pPr>
        <w:pStyle w:val="berschrift2"/>
        <w:tabs>
          <w:tab w:val="left" w:pos="426"/>
          <w:tab w:val="num" w:pos="1134"/>
        </w:tabs>
        <w:spacing w:line="276" w:lineRule="auto"/>
        <w:ind w:hanging="718"/>
        <w:rPr>
          <w:rFonts w:cs="Arial"/>
          <w:lang w:val="de-DE"/>
        </w:rPr>
      </w:pPr>
      <w:bookmarkStart w:id="13" w:name="_Toc52657025"/>
      <w:bookmarkStart w:id="14" w:name="_Toc52663264"/>
      <w:bookmarkStart w:id="15" w:name="_Toc116494051"/>
      <w:bookmarkStart w:id="16" w:name="_Toc116923127"/>
      <w:r w:rsidRPr="002903A7">
        <w:rPr>
          <w:rFonts w:cs="Arial"/>
          <w:lang w:val="de-DE"/>
        </w:rPr>
        <w:t>Beschleunigte AfA bei Anschaffung oder Herstellung von Gebäuden</w:t>
      </w:r>
      <w:bookmarkEnd w:id="13"/>
      <w:bookmarkEnd w:id="14"/>
      <w:bookmarkEnd w:id="15"/>
      <w:bookmarkEnd w:id="16"/>
    </w:p>
    <w:p w:rsidR="00432042" w:rsidRPr="00BD7DAC" w:rsidRDefault="00432042" w:rsidP="007320CC">
      <w:pPr>
        <w:shd w:val="clear" w:color="auto" w:fill="FFFFFF"/>
        <w:spacing w:after="60" w:line="276" w:lineRule="auto"/>
        <w:jc w:val="both"/>
        <w:rPr>
          <w:rFonts w:cs="Arial"/>
          <w:b/>
          <w:u w:val="single"/>
          <w:lang w:val="de-DE"/>
        </w:rPr>
      </w:pPr>
      <w:r w:rsidRPr="00920D33">
        <w:rPr>
          <w:rFonts w:cs="Arial"/>
          <w:lang w:val="de-DE"/>
        </w:rPr>
        <w:t>Für Gebäude, die nach dem 30. Juni 202</w:t>
      </w:r>
      <w:r w:rsidR="00216B27">
        <w:rPr>
          <w:rFonts w:cs="Arial"/>
          <w:lang w:val="de-DE"/>
        </w:rPr>
        <w:t>0</w:t>
      </w:r>
      <w:r w:rsidRPr="00920D33">
        <w:rPr>
          <w:rFonts w:cs="Arial"/>
          <w:lang w:val="de-DE"/>
        </w:rPr>
        <w:t xml:space="preserve"> angeschafft oder hergestellt worden sind, ist eine beschleunigte AfA vorgesehen. Der bisher gültige Abschreibungsprozentsatz von Gebäuden beträgt ohne Nachweis der Nutzungsdauer 2,5% </w:t>
      </w:r>
      <w:r w:rsidR="00816648">
        <w:rPr>
          <w:rFonts w:cs="Arial"/>
          <w:lang w:val="de-DE"/>
        </w:rPr>
        <w:t>bzw</w:t>
      </w:r>
      <w:r w:rsidRPr="00920D33">
        <w:rPr>
          <w:rFonts w:cs="Arial"/>
          <w:lang w:val="de-DE"/>
        </w:rPr>
        <w:t xml:space="preserve"> 1,5% bei für Wohnzwecke überlassenen Gebäuden. Im Jahr, in dem die AfA erstmalig zu berücksichtigen ist, kann höchstens das </w:t>
      </w:r>
      <w:r w:rsidRPr="00920D33">
        <w:rPr>
          <w:rFonts w:cs="Arial"/>
          <w:b/>
          <w:bCs/>
          <w:lang w:val="de-DE"/>
        </w:rPr>
        <w:t xml:space="preserve">Dreifache des bisher </w:t>
      </w:r>
      <w:r w:rsidR="00C70A6F" w:rsidRPr="00920D33">
        <w:rPr>
          <w:rFonts w:cs="Arial"/>
          <w:b/>
          <w:bCs/>
          <w:lang w:val="de-DE"/>
        </w:rPr>
        <w:t xml:space="preserve">zulässigen Höchstsatzes </w:t>
      </w:r>
      <w:r w:rsidR="00C70A6F" w:rsidRPr="00920D33">
        <w:rPr>
          <w:rFonts w:cs="Arial"/>
          <w:lang w:val="de-DE"/>
        </w:rPr>
        <w:t xml:space="preserve">(also 7,5% </w:t>
      </w:r>
      <w:r w:rsidR="00816648">
        <w:rPr>
          <w:rFonts w:cs="Arial"/>
          <w:lang w:val="de-DE"/>
        </w:rPr>
        <w:t>bzw</w:t>
      </w:r>
      <w:r w:rsidR="00C70A6F" w:rsidRPr="00920D33">
        <w:rPr>
          <w:rFonts w:cs="Arial"/>
          <w:lang w:val="de-DE"/>
        </w:rPr>
        <w:t xml:space="preserve"> 4,5%) und im darauffolgenden Jahr höchstens das Zweifache (also 5% </w:t>
      </w:r>
      <w:r w:rsidR="00816648">
        <w:rPr>
          <w:rFonts w:cs="Arial"/>
          <w:lang w:val="de-DE"/>
        </w:rPr>
        <w:t>bzw</w:t>
      </w:r>
      <w:r w:rsidR="00C70A6F" w:rsidRPr="00920D33">
        <w:rPr>
          <w:rFonts w:cs="Arial"/>
          <w:lang w:val="de-DE"/>
        </w:rPr>
        <w:t xml:space="preserve"> 3%) abgeschrieben werden</w:t>
      </w:r>
      <w:r w:rsidR="00C70A6F" w:rsidRPr="00920D33">
        <w:rPr>
          <w:rFonts w:cs="Arial"/>
          <w:b/>
          <w:bCs/>
          <w:lang w:val="de-DE"/>
        </w:rPr>
        <w:t xml:space="preserve">. </w:t>
      </w:r>
      <w:r w:rsidRPr="00920D33">
        <w:rPr>
          <w:rFonts w:cs="Arial"/>
          <w:lang w:val="de-DE"/>
        </w:rPr>
        <w:t>Ab dem zweitfolgenden Jahr erfolgt die Bemessung der AfA wi</w:t>
      </w:r>
      <w:r w:rsidR="00DF1EB4">
        <w:rPr>
          <w:rFonts w:cs="Arial"/>
          <w:lang w:val="de-DE"/>
        </w:rPr>
        <w:t>eder mit den Normalsätzen</w:t>
      </w:r>
      <w:r w:rsidRPr="00920D33">
        <w:rPr>
          <w:rFonts w:cs="Arial"/>
          <w:lang w:val="de-DE"/>
        </w:rPr>
        <w:t>. Die Halbjahresabschreibungsregelung ist nicht anzuwenden, sodass auch bei Anschaffung</w:t>
      </w:r>
      <w:r w:rsidR="00C70A6F" w:rsidRPr="00920D33">
        <w:rPr>
          <w:rFonts w:cs="Arial"/>
          <w:lang w:val="de-DE"/>
        </w:rPr>
        <w:t xml:space="preserve"> oder</w:t>
      </w:r>
      <w:r w:rsidRPr="00920D33">
        <w:rPr>
          <w:rFonts w:cs="Arial"/>
          <w:lang w:val="de-DE"/>
        </w:rPr>
        <w:t xml:space="preserve"> </w:t>
      </w:r>
      <w:r w:rsidRPr="002903A7">
        <w:rPr>
          <w:rFonts w:cs="Arial"/>
          <w:lang w:val="de-DE"/>
        </w:rPr>
        <w:t>Herstellung im zweiten Halbjahr der volle Jahres-AfA-Betrag aufwandswirksam ist.</w:t>
      </w:r>
    </w:p>
    <w:p w:rsidR="00BD7DAC" w:rsidRPr="00BD7DAC" w:rsidRDefault="00BD7DAC" w:rsidP="00B952A7">
      <w:pPr>
        <w:shd w:val="clear" w:color="auto" w:fill="FFFFFF"/>
        <w:spacing w:line="276" w:lineRule="auto"/>
        <w:jc w:val="both"/>
        <w:rPr>
          <w:rFonts w:cs="Arial"/>
          <w:b/>
          <w:u w:val="single"/>
          <w:lang w:val="de-DE"/>
        </w:rPr>
      </w:pPr>
    </w:p>
    <w:p w:rsidR="00BD7DAC" w:rsidRDefault="00BD7DAC" w:rsidP="003D7D72">
      <w:pPr>
        <w:shd w:val="clear" w:color="auto" w:fill="B8CCE4" w:themeFill="accent1" w:themeFillTint="66"/>
        <w:spacing w:line="276" w:lineRule="auto"/>
        <w:jc w:val="both"/>
        <w:rPr>
          <w:rFonts w:cs="Arial"/>
          <w:lang w:val="de-DE"/>
        </w:rPr>
      </w:pPr>
      <w:r w:rsidRPr="007320CC">
        <w:rPr>
          <w:rFonts w:cs="Arial"/>
          <w:b/>
          <w:lang w:val="de-DE"/>
        </w:rPr>
        <w:t>Achtung:</w:t>
      </w:r>
      <w:r>
        <w:rPr>
          <w:rFonts w:cs="Arial"/>
          <w:lang w:val="de-DE"/>
        </w:rPr>
        <w:t xml:space="preserve"> Bei Miethäusern, die vor 1915 erbaut wurden, kann auch ohne Gutachten ein AfA-Satz von höchstens 2% angewendet werden. </w:t>
      </w:r>
      <w:r w:rsidRPr="007320CC">
        <w:rPr>
          <w:rFonts w:cs="Arial"/>
          <w:b/>
          <w:bCs/>
          <w:lang w:val="de-DE"/>
        </w:rPr>
        <w:t>Dieser begünstigte AfA-Satz kann nicht in Kombination mit der beschleunigten AfA angewendet werden.</w:t>
      </w:r>
      <w:r>
        <w:rPr>
          <w:rFonts w:cs="Arial"/>
          <w:lang w:val="de-DE"/>
        </w:rPr>
        <w:t xml:space="preserve"> Wird </w:t>
      </w:r>
      <w:r w:rsidR="00676541">
        <w:rPr>
          <w:rFonts w:cs="Arial"/>
          <w:lang w:val="de-DE"/>
        </w:rPr>
        <w:t xml:space="preserve">eine langfristige Vermietung angestrebt, so muss der gesamte Abschreibungszeitraum betrachtet werden. Die beschleunigte AfA </w:t>
      </w:r>
      <w:r w:rsidR="007673E5">
        <w:rPr>
          <w:rFonts w:cs="Arial"/>
          <w:lang w:val="de-DE"/>
        </w:rPr>
        <w:t>bewirkt</w:t>
      </w:r>
      <w:r w:rsidR="00676541">
        <w:rPr>
          <w:rFonts w:cs="Arial"/>
          <w:lang w:val="de-DE"/>
        </w:rPr>
        <w:t xml:space="preserve"> nämlich eine steuerliche Nutzungsdauer von 63,67 Jahren, die besondere AfA für Alt-Mietgebäuden eine steuerliche Nutzungsdauer von 50 Jahren. Diese Differenz von 13,67 Jahren kann </w:t>
      </w:r>
      <w:r w:rsidR="00970884">
        <w:rPr>
          <w:rFonts w:cs="Arial"/>
          <w:lang w:val="de-DE"/>
        </w:rPr>
        <w:t>vo</w:t>
      </w:r>
      <w:r w:rsidR="00554341">
        <w:rPr>
          <w:rFonts w:cs="Arial"/>
          <w:lang w:val="de-DE"/>
        </w:rPr>
        <w:t xml:space="preserve">n </w:t>
      </w:r>
      <w:r w:rsidR="007F7C22">
        <w:rPr>
          <w:rFonts w:cs="Arial"/>
          <w:lang w:val="de-DE"/>
        </w:rPr>
        <w:t xml:space="preserve">der anfänglich höheren beschleunigten Abschreibung </w:t>
      </w:r>
      <w:r w:rsidR="00226856">
        <w:rPr>
          <w:rFonts w:cs="Arial"/>
          <w:lang w:val="de-DE"/>
        </w:rPr>
        <w:t>nicht</w:t>
      </w:r>
      <w:r w:rsidR="007673E5">
        <w:rPr>
          <w:rFonts w:cs="Arial"/>
          <w:lang w:val="de-DE"/>
        </w:rPr>
        <w:t xml:space="preserve"> kompensiert</w:t>
      </w:r>
      <w:r w:rsidR="00226856">
        <w:rPr>
          <w:rFonts w:cs="Arial"/>
          <w:lang w:val="de-DE"/>
        </w:rPr>
        <w:t xml:space="preserve"> werden. </w:t>
      </w:r>
      <w:r w:rsidR="007F7C22">
        <w:rPr>
          <w:rFonts w:cs="Arial"/>
          <w:lang w:val="de-DE"/>
        </w:rPr>
        <w:t>In einer Barwertbetrachtung zeigt sich, dass</w:t>
      </w:r>
      <w:r w:rsidR="00226856">
        <w:rPr>
          <w:rFonts w:cs="Arial"/>
          <w:lang w:val="de-DE"/>
        </w:rPr>
        <w:t xml:space="preserve"> bereits nach dem 11. Jahr der begünstigte AfA-Satz </w:t>
      </w:r>
      <w:r w:rsidR="007F7C22">
        <w:rPr>
          <w:rFonts w:cs="Arial"/>
          <w:lang w:val="de-DE"/>
        </w:rPr>
        <w:t xml:space="preserve">von 2% </w:t>
      </w:r>
      <w:r w:rsidR="00226856">
        <w:rPr>
          <w:rFonts w:cs="Arial"/>
          <w:lang w:val="de-DE"/>
        </w:rPr>
        <w:t>der beschleunigten AfA vorzuziehen</w:t>
      </w:r>
      <w:r w:rsidR="007F7C22">
        <w:rPr>
          <w:rFonts w:cs="Arial"/>
          <w:lang w:val="de-DE"/>
        </w:rPr>
        <w:t xml:space="preserve"> ist</w:t>
      </w:r>
      <w:r w:rsidR="00226856">
        <w:rPr>
          <w:rFonts w:cs="Arial"/>
          <w:lang w:val="de-DE"/>
        </w:rPr>
        <w:t>.</w:t>
      </w:r>
    </w:p>
    <w:p w:rsidR="0057162D" w:rsidRPr="00BD7DAC" w:rsidRDefault="0057162D" w:rsidP="0057162D">
      <w:pPr>
        <w:spacing w:line="276" w:lineRule="auto"/>
        <w:jc w:val="both"/>
        <w:rPr>
          <w:rFonts w:cs="Arial"/>
          <w:lang w:val="de-DE"/>
        </w:rPr>
      </w:pPr>
    </w:p>
    <w:p w:rsidR="00432042" w:rsidRPr="002903A7" w:rsidRDefault="00AB4EFE" w:rsidP="0057162D">
      <w:pPr>
        <w:pStyle w:val="berschrift2"/>
        <w:tabs>
          <w:tab w:val="num" w:pos="142"/>
        </w:tabs>
        <w:spacing w:line="276" w:lineRule="auto"/>
        <w:ind w:left="426" w:hanging="426"/>
        <w:rPr>
          <w:rFonts w:cs="Arial"/>
          <w:lang w:val="de-DE"/>
        </w:rPr>
      </w:pPr>
      <w:bookmarkStart w:id="17" w:name="_Toc116494052"/>
      <w:bookmarkStart w:id="18" w:name="_Toc116923128"/>
      <w:r>
        <w:rPr>
          <w:rFonts w:cs="Arial"/>
          <w:lang w:val="de-DE"/>
        </w:rPr>
        <w:t>Halbjahresabschreibung, GWG und stille Reserven</w:t>
      </w:r>
      <w:bookmarkEnd w:id="17"/>
      <w:bookmarkEnd w:id="18"/>
    </w:p>
    <w:p w:rsidR="00AB4EFE" w:rsidRDefault="0057162D" w:rsidP="005349C1">
      <w:pPr>
        <w:pStyle w:val="Listenabsatz"/>
        <w:numPr>
          <w:ilvl w:val="0"/>
          <w:numId w:val="18"/>
        </w:numPr>
        <w:shd w:val="clear" w:color="auto" w:fill="FFFFFF"/>
        <w:spacing w:line="276" w:lineRule="auto"/>
        <w:ind w:left="426" w:hanging="426"/>
        <w:jc w:val="both"/>
        <w:rPr>
          <w:rFonts w:cs="Arial"/>
          <w:lang w:val="de-DE"/>
        </w:rPr>
      </w:pPr>
      <w:r w:rsidRPr="009B2784">
        <w:rPr>
          <w:rFonts w:cs="Arial"/>
          <w:b/>
          <w:bCs/>
          <w:lang w:val="de-DE"/>
        </w:rPr>
        <w:t>Halbjahresabschreibung</w:t>
      </w:r>
      <w:r>
        <w:rPr>
          <w:rFonts w:cs="Arial"/>
          <w:lang w:val="de-DE"/>
        </w:rPr>
        <w:t xml:space="preserve">: </w:t>
      </w:r>
      <w:r w:rsidR="00C70518">
        <w:rPr>
          <w:rFonts w:cs="Arial"/>
          <w:lang w:val="de-DE"/>
        </w:rPr>
        <w:t>Wenn noch heuer Investitionen getätigt werden und das</w:t>
      </w:r>
      <w:r w:rsidR="00AB4EFE">
        <w:rPr>
          <w:rFonts w:cs="Arial"/>
          <w:lang w:val="de-DE"/>
        </w:rPr>
        <w:t xml:space="preserve"> angeschaffte</w:t>
      </w:r>
      <w:r w:rsidR="00C70518">
        <w:rPr>
          <w:rFonts w:cs="Arial"/>
          <w:lang w:val="de-DE"/>
        </w:rPr>
        <w:t xml:space="preserve"> Wirtschaftsgut auch noch bis zum 31. Dezember 202</w:t>
      </w:r>
      <w:r w:rsidR="00CD5D0F">
        <w:rPr>
          <w:rFonts w:cs="Arial"/>
          <w:lang w:val="de-DE"/>
        </w:rPr>
        <w:t>2</w:t>
      </w:r>
      <w:r w:rsidR="00C70518">
        <w:rPr>
          <w:rFonts w:cs="Arial"/>
          <w:lang w:val="de-DE"/>
        </w:rPr>
        <w:t xml:space="preserve"> in Betrieb </w:t>
      </w:r>
      <w:r w:rsidR="00AB4EFE">
        <w:rPr>
          <w:rFonts w:cs="Arial"/>
          <w:lang w:val="de-DE"/>
        </w:rPr>
        <w:t>genommen wird</w:t>
      </w:r>
      <w:r w:rsidR="00C70518">
        <w:rPr>
          <w:rFonts w:cs="Arial"/>
          <w:lang w:val="de-DE"/>
        </w:rPr>
        <w:t>,</w:t>
      </w:r>
      <w:r w:rsidR="00FE1FB5" w:rsidRPr="00C70518">
        <w:rPr>
          <w:rFonts w:cs="Arial"/>
          <w:lang w:val="de-DE"/>
        </w:rPr>
        <w:t xml:space="preserve"> steht die </w:t>
      </w:r>
      <w:r w:rsidR="00FE1FB5" w:rsidRPr="009B2784">
        <w:rPr>
          <w:rFonts w:cs="Arial"/>
          <w:bCs/>
          <w:lang w:val="de-DE"/>
        </w:rPr>
        <w:t>Halbjahresabschreibung</w:t>
      </w:r>
      <w:r w:rsidR="00FE1FB5" w:rsidRPr="00C70518">
        <w:rPr>
          <w:rFonts w:cs="Arial"/>
          <w:lang w:val="de-DE"/>
        </w:rPr>
        <w:t xml:space="preserve"> </w:t>
      </w:r>
      <w:r w:rsidR="00C70518">
        <w:rPr>
          <w:rFonts w:cs="Arial"/>
          <w:lang w:val="de-DE"/>
        </w:rPr>
        <w:t xml:space="preserve">zu. </w:t>
      </w:r>
    </w:p>
    <w:p w:rsidR="00432042" w:rsidRPr="0057162D" w:rsidRDefault="0057162D" w:rsidP="005349C1">
      <w:pPr>
        <w:pStyle w:val="Listenabsatz"/>
        <w:numPr>
          <w:ilvl w:val="0"/>
          <w:numId w:val="19"/>
        </w:numPr>
        <w:shd w:val="clear" w:color="auto" w:fill="FFFFFF"/>
        <w:spacing w:line="276" w:lineRule="auto"/>
        <w:ind w:left="426" w:hanging="426"/>
        <w:jc w:val="both"/>
        <w:rPr>
          <w:rFonts w:cs="Arial"/>
          <w:lang w:val="de-DE"/>
        </w:rPr>
      </w:pPr>
      <w:r w:rsidRPr="009B2784">
        <w:rPr>
          <w:rFonts w:cs="Arial"/>
          <w:b/>
          <w:bCs/>
          <w:lang w:val="de-DE"/>
        </w:rPr>
        <w:t>GWG</w:t>
      </w:r>
      <w:r>
        <w:rPr>
          <w:rFonts w:cs="Arial"/>
          <w:lang w:val="de-DE"/>
        </w:rPr>
        <w:t xml:space="preserve">: </w:t>
      </w:r>
      <w:r w:rsidR="00AB4EFE" w:rsidRPr="0057162D">
        <w:rPr>
          <w:rFonts w:cs="Arial"/>
          <w:lang w:val="de-DE"/>
        </w:rPr>
        <w:t>Investitionen mit Anschaffungskoste</w:t>
      </w:r>
      <w:r w:rsidR="00432042" w:rsidRPr="0057162D">
        <w:rPr>
          <w:rFonts w:cs="Arial"/>
          <w:lang w:val="de-DE"/>
        </w:rPr>
        <w:t>n</w:t>
      </w:r>
      <w:r w:rsidR="00AB4EFE" w:rsidRPr="0057162D">
        <w:rPr>
          <w:rFonts w:cs="Arial"/>
          <w:lang w:val="de-DE"/>
        </w:rPr>
        <w:t xml:space="preserve"> </w:t>
      </w:r>
      <w:r w:rsidR="00AB4EFE" w:rsidRPr="0057162D">
        <w:rPr>
          <w:rFonts w:cs="Arial"/>
          <w:b/>
          <w:lang w:val="de-DE"/>
        </w:rPr>
        <w:t>bis € 800</w:t>
      </w:r>
      <w:r w:rsidR="00AB4EFE" w:rsidRPr="0057162D">
        <w:rPr>
          <w:rFonts w:cs="Arial"/>
          <w:lang w:val="de-DE"/>
        </w:rPr>
        <w:t xml:space="preserve"> (exklusive USt bei Vorsteuerabzug) können sofort als </w:t>
      </w:r>
      <w:r w:rsidR="00AB4EFE" w:rsidRPr="0057162D">
        <w:rPr>
          <w:rFonts w:cs="Arial"/>
          <w:b/>
          <w:lang w:val="de-DE"/>
        </w:rPr>
        <w:t>geringwertige Wirtschaftsgüter</w:t>
      </w:r>
      <w:r w:rsidR="00AB4EFE" w:rsidRPr="0057162D">
        <w:rPr>
          <w:rFonts w:cs="Arial"/>
          <w:lang w:val="de-DE"/>
        </w:rPr>
        <w:t xml:space="preserve"> (GWG) abgesetzt werden</w:t>
      </w:r>
      <w:r w:rsidR="00432042" w:rsidRPr="0057162D">
        <w:rPr>
          <w:rFonts w:cs="Arial"/>
          <w:lang w:val="de-DE"/>
        </w:rPr>
        <w:t>.</w:t>
      </w:r>
      <w:r w:rsidR="00CD5D0F" w:rsidRPr="0057162D">
        <w:rPr>
          <w:rFonts w:cs="Arial"/>
          <w:lang w:val="de-DE"/>
        </w:rPr>
        <w:t xml:space="preserve"> Die GWG</w:t>
      </w:r>
      <w:r w:rsidR="00F9548A">
        <w:rPr>
          <w:rFonts w:cs="Arial"/>
          <w:lang w:val="de-DE"/>
        </w:rPr>
        <w:t>-</w:t>
      </w:r>
      <w:r w:rsidR="00CD5D0F" w:rsidRPr="0057162D">
        <w:rPr>
          <w:rFonts w:cs="Arial"/>
          <w:lang w:val="de-DE"/>
        </w:rPr>
        <w:t xml:space="preserve">Grenze wird mit Wirkung </w:t>
      </w:r>
      <w:r w:rsidR="00AD4C9C" w:rsidRPr="0057162D">
        <w:rPr>
          <w:rFonts w:cs="Arial"/>
          <w:color w:val="5F497A" w:themeColor="accent4" w:themeShade="BF"/>
          <w:lang w:val="de-DE"/>
        </w:rPr>
        <w:t>ab</w:t>
      </w:r>
      <w:r w:rsidR="00CD5D0F" w:rsidRPr="0057162D">
        <w:rPr>
          <w:rFonts w:cs="Arial"/>
          <w:color w:val="5F497A" w:themeColor="accent4" w:themeShade="BF"/>
          <w:lang w:val="de-DE"/>
        </w:rPr>
        <w:t xml:space="preserve"> </w:t>
      </w:r>
      <w:r w:rsidR="00CD5D0F" w:rsidRPr="0057162D">
        <w:rPr>
          <w:rFonts w:cs="Arial"/>
          <w:b/>
          <w:lang w:val="de-DE"/>
        </w:rPr>
        <w:t>1.1.2023 auf € 1</w:t>
      </w:r>
      <w:r w:rsidR="00AD4C9C" w:rsidRPr="0057162D">
        <w:rPr>
          <w:rFonts w:cs="Arial"/>
          <w:b/>
          <w:lang w:val="de-DE"/>
        </w:rPr>
        <w:t>.</w:t>
      </w:r>
      <w:r w:rsidR="00CD5D0F" w:rsidRPr="0057162D">
        <w:rPr>
          <w:rFonts w:cs="Arial"/>
          <w:b/>
          <w:lang w:val="de-DE"/>
        </w:rPr>
        <w:t>000 angehoben</w:t>
      </w:r>
      <w:r w:rsidR="00CD5D0F" w:rsidRPr="0057162D">
        <w:rPr>
          <w:rFonts w:cs="Arial"/>
          <w:lang w:val="de-DE"/>
        </w:rPr>
        <w:t>. Es ist daher möglich, dass eine Verschiebung von Anschaffungen</w:t>
      </w:r>
      <w:r w:rsidR="00AD4C9C" w:rsidRPr="0057162D">
        <w:rPr>
          <w:rFonts w:cs="Arial"/>
          <w:lang w:val="de-DE"/>
        </w:rPr>
        <w:t xml:space="preserve">, </w:t>
      </w:r>
      <w:r w:rsidR="00CD5D0F" w:rsidRPr="0057162D">
        <w:rPr>
          <w:rFonts w:cs="Arial"/>
          <w:lang w:val="de-DE"/>
        </w:rPr>
        <w:t>die zwischen € 801 und € 999 liegen, einen nachhaltigen Steuervorteil bewirken kann. Dies muss im Einzelfall geprüft werden, da der „Ausgabenverschiebung“ eine Verminderung des Progressionstarif</w:t>
      </w:r>
      <w:r w:rsidR="00AD4C9C" w:rsidRPr="0057162D">
        <w:rPr>
          <w:rFonts w:cs="Arial"/>
          <w:color w:val="5F497A" w:themeColor="accent4" w:themeShade="BF"/>
          <w:lang w:val="de-DE"/>
        </w:rPr>
        <w:t>s</w:t>
      </w:r>
      <w:r w:rsidR="00CD5D0F" w:rsidRPr="0057162D">
        <w:rPr>
          <w:rFonts w:cs="Arial"/>
          <w:color w:val="5F497A" w:themeColor="accent4" w:themeShade="BF"/>
          <w:lang w:val="de-DE"/>
        </w:rPr>
        <w:t xml:space="preserve"> </w:t>
      </w:r>
      <w:r w:rsidR="00CD5D0F" w:rsidRPr="0057162D">
        <w:rPr>
          <w:rFonts w:cs="Arial"/>
          <w:lang w:val="de-DE"/>
        </w:rPr>
        <w:t>der Einkommensteuer (inkl Valorisierung der Grenzbeträge) bzw die Senkung der Körperschaftsteuer ab dem Jahr 2023 entgegensteht.</w:t>
      </w:r>
    </w:p>
    <w:p w:rsidR="00AB4EFE" w:rsidRPr="0057162D" w:rsidRDefault="00AB4EFE" w:rsidP="005349C1">
      <w:pPr>
        <w:pStyle w:val="Listenabsatz"/>
        <w:numPr>
          <w:ilvl w:val="0"/>
          <w:numId w:val="19"/>
        </w:numPr>
        <w:shd w:val="clear" w:color="auto" w:fill="FFFFFF"/>
        <w:spacing w:line="276" w:lineRule="auto"/>
        <w:ind w:left="426" w:hanging="426"/>
        <w:jc w:val="both"/>
        <w:rPr>
          <w:rFonts w:cs="Arial"/>
          <w:lang w:val="de-DE"/>
        </w:rPr>
      </w:pPr>
      <w:r w:rsidRPr="0057162D">
        <w:rPr>
          <w:rFonts w:cs="Arial"/>
          <w:b/>
          <w:lang w:val="de-DE"/>
        </w:rPr>
        <w:t>Stille Reserven</w:t>
      </w:r>
      <w:r w:rsidRPr="0057162D">
        <w:rPr>
          <w:rFonts w:cs="Arial"/>
          <w:lang w:val="de-DE"/>
        </w:rPr>
        <w:t xml:space="preserve"> aus der Veräußerung von mindestens </w:t>
      </w:r>
      <w:r w:rsidR="00A41F5A" w:rsidRPr="0057162D">
        <w:rPr>
          <w:rFonts w:cs="Arial"/>
          <w:color w:val="8064A2" w:themeColor="accent4"/>
          <w:lang w:val="de-DE"/>
        </w:rPr>
        <w:t xml:space="preserve">seit </w:t>
      </w:r>
      <w:r w:rsidRPr="0057162D">
        <w:rPr>
          <w:rFonts w:cs="Arial"/>
          <w:lang w:val="de-DE"/>
        </w:rPr>
        <w:t>sieben Jahre</w:t>
      </w:r>
      <w:r w:rsidR="00A41F5A" w:rsidRPr="0057162D">
        <w:rPr>
          <w:rFonts w:cs="Arial"/>
          <w:lang w:val="de-DE"/>
        </w:rPr>
        <w:t>n</w:t>
      </w:r>
      <w:r w:rsidRPr="0057162D">
        <w:rPr>
          <w:rFonts w:cs="Arial"/>
          <w:lang w:val="de-DE"/>
        </w:rPr>
        <w:t xml:space="preserve"> (15 Jahre</w:t>
      </w:r>
      <w:r w:rsidR="00A41F5A" w:rsidRPr="0057162D">
        <w:rPr>
          <w:rFonts w:cs="Arial"/>
          <w:lang w:val="de-DE"/>
        </w:rPr>
        <w:t>n</w:t>
      </w:r>
      <w:r w:rsidRPr="0057162D">
        <w:rPr>
          <w:rFonts w:cs="Arial"/>
          <w:lang w:val="de-DE"/>
        </w:rPr>
        <w:t xml:space="preserve"> bei Grundstücken) </w:t>
      </w:r>
      <w:r w:rsidR="00AD4C9C" w:rsidRPr="0057162D">
        <w:rPr>
          <w:rFonts w:cs="Arial"/>
          <w:lang w:val="de-DE"/>
        </w:rPr>
        <w:t xml:space="preserve">im Betriebsvermögen befindlichen </w:t>
      </w:r>
      <w:r w:rsidRPr="0057162D">
        <w:rPr>
          <w:rFonts w:cs="Arial"/>
          <w:lang w:val="de-DE"/>
        </w:rPr>
        <w:t xml:space="preserve">Anlagegütern können unter bestimmten Voraussetzungen bei </w:t>
      </w:r>
      <w:r w:rsidRPr="0057162D">
        <w:rPr>
          <w:rFonts w:cs="Arial"/>
          <w:b/>
          <w:lang w:val="de-DE"/>
        </w:rPr>
        <w:t>natürlichen Personen</w:t>
      </w:r>
      <w:r w:rsidRPr="0057162D">
        <w:rPr>
          <w:rFonts w:cs="Arial"/>
          <w:lang w:val="de-DE"/>
        </w:rPr>
        <w:t xml:space="preserve"> auf </w:t>
      </w:r>
      <w:r w:rsidRPr="0057162D">
        <w:rPr>
          <w:rFonts w:cs="Arial"/>
          <w:b/>
          <w:lang w:val="de-DE"/>
        </w:rPr>
        <w:t>Ersatzbeschaffungen</w:t>
      </w:r>
      <w:r w:rsidRPr="0057162D">
        <w:rPr>
          <w:rFonts w:cs="Arial"/>
          <w:lang w:val="de-DE"/>
        </w:rPr>
        <w:t xml:space="preserve"> übertragen oder einer </w:t>
      </w:r>
      <w:r w:rsidRPr="0057162D">
        <w:rPr>
          <w:rFonts w:cs="Arial"/>
          <w:b/>
          <w:lang w:val="de-DE"/>
        </w:rPr>
        <w:t>Übertragungsrücklage</w:t>
      </w:r>
      <w:r w:rsidRPr="0057162D">
        <w:rPr>
          <w:rFonts w:cs="Arial"/>
          <w:lang w:val="de-DE"/>
        </w:rPr>
        <w:t xml:space="preserve"> zugeführt werden.</w:t>
      </w:r>
    </w:p>
    <w:p w:rsidR="00E16316" w:rsidRDefault="00E16316" w:rsidP="0057162D">
      <w:pPr>
        <w:spacing w:line="276" w:lineRule="auto"/>
        <w:rPr>
          <w:rFonts w:cs="Arial"/>
          <w:lang w:val="de-DE"/>
        </w:rPr>
      </w:pPr>
    </w:p>
    <w:p w:rsidR="0057162D" w:rsidRDefault="0057162D" w:rsidP="0057162D">
      <w:pPr>
        <w:spacing w:line="276" w:lineRule="auto"/>
        <w:rPr>
          <w:rFonts w:cs="Arial"/>
          <w:lang w:val="de-DE"/>
        </w:rPr>
      </w:pPr>
    </w:p>
    <w:p w:rsidR="00B91056" w:rsidRPr="009B2784" w:rsidRDefault="009B2784" w:rsidP="009B2784">
      <w:pPr>
        <w:pStyle w:val="berschrift1"/>
        <w:rPr>
          <w:color w:val="E36C0A" w:themeColor="accent6" w:themeShade="BF"/>
          <w:sz w:val="24"/>
          <w:szCs w:val="24"/>
          <w:u w:val="none"/>
        </w:rPr>
      </w:pPr>
      <w:bookmarkStart w:id="19" w:name="_Toc116494053"/>
      <w:bookmarkStart w:id="20" w:name="_Toc116923129"/>
      <w:r w:rsidRPr="009B2784">
        <w:rPr>
          <w:color w:val="E36C0A" w:themeColor="accent6" w:themeShade="BF"/>
          <w:sz w:val="24"/>
          <w:szCs w:val="24"/>
          <w:u w:val="none"/>
        </w:rPr>
        <w:t>DISPOSITION ÜBER ERTRÄGE / EINNAHMEN BZW AUFWENDUNGEN / AUSGABEN</w:t>
      </w:r>
      <w:bookmarkEnd w:id="19"/>
      <w:bookmarkEnd w:id="20"/>
    </w:p>
    <w:p w:rsidR="00B91056" w:rsidRPr="00D101C1" w:rsidRDefault="00B91056" w:rsidP="00B952A7">
      <w:pPr>
        <w:tabs>
          <w:tab w:val="num" w:pos="284"/>
        </w:tabs>
        <w:spacing w:line="276" w:lineRule="auto"/>
        <w:jc w:val="both"/>
        <w:rPr>
          <w:rFonts w:cs="Arial"/>
        </w:rPr>
      </w:pPr>
      <w:r w:rsidRPr="00D101C1">
        <w:rPr>
          <w:rFonts w:cs="Arial"/>
          <w:b/>
        </w:rPr>
        <w:t xml:space="preserve">Bilanzierer </w:t>
      </w:r>
      <w:r w:rsidRPr="00A41F5A">
        <w:rPr>
          <w:rFonts w:cs="Arial"/>
          <w:bCs/>
        </w:rPr>
        <w:t>haben</w:t>
      </w:r>
      <w:r w:rsidRPr="00D101C1">
        <w:rPr>
          <w:rFonts w:cs="Arial"/>
        </w:rPr>
        <w:t xml:space="preserve"> durch </w:t>
      </w:r>
      <w:r w:rsidRPr="00D101C1">
        <w:rPr>
          <w:rFonts w:cs="Arial"/>
          <w:b/>
        </w:rPr>
        <w:t>Vorziehen von Aufwendungen</w:t>
      </w:r>
      <w:r w:rsidRPr="00D101C1">
        <w:rPr>
          <w:rFonts w:cs="Arial"/>
        </w:rPr>
        <w:t xml:space="preserve"> und </w:t>
      </w:r>
      <w:r w:rsidRPr="00D101C1">
        <w:rPr>
          <w:rFonts w:cs="Arial"/>
          <w:b/>
        </w:rPr>
        <w:t>Verschieben von Erträgen</w:t>
      </w:r>
      <w:r w:rsidRPr="00D101C1">
        <w:rPr>
          <w:rFonts w:cs="Arial"/>
        </w:rPr>
        <w:t xml:space="preserve"> einen gewissen Gestaltungsspielraum. Beachten Sie auch, dass bei halbfertigen Arbeiten und Erzeugnissen eine Gewinnrealisierung unterbleibt.  </w:t>
      </w:r>
    </w:p>
    <w:p w:rsidR="00B91056" w:rsidRDefault="00B91056" w:rsidP="00B952A7">
      <w:pPr>
        <w:tabs>
          <w:tab w:val="num" w:pos="284"/>
        </w:tabs>
        <w:spacing w:line="276" w:lineRule="auto"/>
        <w:jc w:val="both"/>
        <w:rPr>
          <w:rFonts w:cs="Arial"/>
        </w:rPr>
      </w:pPr>
      <w:r w:rsidRPr="00D101C1">
        <w:rPr>
          <w:rFonts w:cs="Arial"/>
          <w:b/>
        </w:rPr>
        <w:t>Einnahmen-Ausgaben-Rechner</w:t>
      </w:r>
      <w:r w:rsidRPr="00D101C1">
        <w:rPr>
          <w:rFonts w:cs="Arial"/>
        </w:rPr>
        <w:t xml:space="preserve"> können ebenfalls durch </w:t>
      </w:r>
      <w:r w:rsidRPr="00D101C1">
        <w:rPr>
          <w:rFonts w:cs="Arial"/>
          <w:b/>
        </w:rPr>
        <w:t>Vorziehen von Ausgaben</w:t>
      </w:r>
      <w:r w:rsidRPr="00D101C1">
        <w:rPr>
          <w:rFonts w:cs="Arial"/>
        </w:rPr>
        <w:t xml:space="preserve"> </w:t>
      </w:r>
      <w:r w:rsidR="005B2813" w:rsidRPr="00D101C1">
        <w:rPr>
          <w:rFonts w:cs="Arial"/>
        </w:rPr>
        <w:t>(zB</w:t>
      </w:r>
      <w:r w:rsidR="00353620" w:rsidRPr="00D101C1">
        <w:rPr>
          <w:rFonts w:cs="Arial"/>
        </w:rPr>
        <w:t xml:space="preserve"> Akonto auf</w:t>
      </w:r>
      <w:r w:rsidR="005B2813" w:rsidRPr="00D101C1">
        <w:rPr>
          <w:rFonts w:cs="Arial"/>
        </w:rPr>
        <w:t xml:space="preserve"> </w:t>
      </w:r>
      <w:r w:rsidR="00353620" w:rsidRPr="00D101C1">
        <w:rPr>
          <w:rFonts w:cs="Arial"/>
        </w:rPr>
        <w:t>Wareneinkäufe, Mieten 20</w:t>
      </w:r>
      <w:r w:rsidR="00BC441E" w:rsidRPr="00D101C1">
        <w:rPr>
          <w:rFonts w:cs="Arial"/>
        </w:rPr>
        <w:t>2</w:t>
      </w:r>
      <w:r w:rsidR="00CD5D0F">
        <w:rPr>
          <w:rFonts w:cs="Arial"/>
        </w:rPr>
        <w:t>3</w:t>
      </w:r>
      <w:r w:rsidR="00353620" w:rsidRPr="00D101C1">
        <w:rPr>
          <w:rFonts w:cs="Arial"/>
        </w:rPr>
        <w:t xml:space="preserve"> oder GSVG-Beitragsnachzahlungen für das Jahr 20</w:t>
      </w:r>
      <w:r w:rsidR="009547C8" w:rsidRPr="00D101C1">
        <w:rPr>
          <w:rFonts w:cs="Arial"/>
        </w:rPr>
        <w:t>2</w:t>
      </w:r>
      <w:r w:rsidR="00CD5D0F">
        <w:rPr>
          <w:rFonts w:cs="Arial"/>
        </w:rPr>
        <w:t>2</w:t>
      </w:r>
      <w:r w:rsidR="00353620" w:rsidRPr="00D101C1">
        <w:rPr>
          <w:rFonts w:cs="Arial"/>
        </w:rPr>
        <w:t xml:space="preserve">) </w:t>
      </w:r>
      <w:r w:rsidRPr="00D101C1">
        <w:rPr>
          <w:rFonts w:cs="Arial"/>
        </w:rPr>
        <w:t xml:space="preserve">und </w:t>
      </w:r>
      <w:r w:rsidRPr="00D101C1">
        <w:rPr>
          <w:rFonts w:cs="Arial"/>
          <w:b/>
        </w:rPr>
        <w:t>Verschieben von Einnahmen</w:t>
      </w:r>
      <w:r w:rsidRPr="00D101C1">
        <w:rPr>
          <w:rFonts w:cs="Arial"/>
        </w:rPr>
        <w:t xml:space="preserve"> ihre Einkünfte steuern. Dabei </w:t>
      </w:r>
      <w:r w:rsidR="00AE02D3">
        <w:rPr>
          <w:rFonts w:cs="Arial"/>
        </w:rPr>
        <w:t>ist</w:t>
      </w:r>
      <w:r w:rsidRPr="00D101C1">
        <w:rPr>
          <w:rFonts w:cs="Arial"/>
        </w:rPr>
        <w:t xml:space="preserve"> zu beachten, dass regelmäßig wiederkehrende Einnahmen und Ausgaben, die 15 Tage vor oder nach dem Jahresende bezahlt werden, dem Jahr zuzurech</w:t>
      </w:r>
      <w:r w:rsidR="00AD4C9C">
        <w:rPr>
          <w:rFonts w:cs="Arial"/>
        </w:rPr>
        <w:softHyphen/>
      </w:r>
      <w:r w:rsidRPr="00D101C1">
        <w:rPr>
          <w:rFonts w:cs="Arial"/>
        </w:rPr>
        <w:t>nen sind, zu dem sie wirtschaftlich gehören.</w:t>
      </w:r>
    </w:p>
    <w:p w:rsidR="00CD5D0F" w:rsidRDefault="00CD5D0F" w:rsidP="00B952A7">
      <w:pPr>
        <w:spacing w:line="276" w:lineRule="auto"/>
        <w:jc w:val="both"/>
        <w:rPr>
          <w:rFonts w:cs="Arial"/>
        </w:rPr>
      </w:pPr>
      <w:r>
        <w:rPr>
          <w:rFonts w:cs="Arial"/>
        </w:rPr>
        <w:t>Diese Dispositionen sind im Jahr 2022 besonders interessant, da im Jahr 2023 folgende nachhaltige Steuerentlastungen durchgeführt werden:</w:t>
      </w:r>
    </w:p>
    <w:p w:rsidR="00CD5D0F" w:rsidRDefault="00CD5D0F" w:rsidP="005349C1">
      <w:pPr>
        <w:pStyle w:val="Listenabsatz"/>
        <w:numPr>
          <w:ilvl w:val="0"/>
          <w:numId w:val="9"/>
        </w:numPr>
        <w:spacing w:line="276" w:lineRule="auto"/>
        <w:jc w:val="both"/>
        <w:rPr>
          <w:rFonts w:cs="Arial"/>
        </w:rPr>
      </w:pPr>
      <w:r>
        <w:rPr>
          <w:rFonts w:cs="Arial"/>
        </w:rPr>
        <w:t xml:space="preserve">Senkung der </w:t>
      </w:r>
      <w:r w:rsidR="00AE02D3">
        <w:rPr>
          <w:rFonts w:cs="Arial"/>
        </w:rPr>
        <w:t xml:space="preserve">2. Tarifstufe der Einkommensteuer von 32,5% auf 30% und der </w:t>
      </w:r>
      <w:r>
        <w:rPr>
          <w:rFonts w:cs="Arial"/>
        </w:rPr>
        <w:t>3.</w:t>
      </w:r>
      <w:r w:rsidR="00F9548A">
        <w:rPr>
          <w:rFonts w:cs="Arial"/>
        </w:rPr>
        <w:t xml:space="preserve"> T</w:t>
      </w:r>
      <w:r>
        <w:rPr>
          <w:rFonts w:cs="Arial"/>
        </w:rPr>
        <w:t>arifstufe von 42% auf 4</w:t>
      </w:r>
      <w:r w:rsidR="00AE02D3">
        <w:rPr>
          <w:rFonts w:cs="Arial"/>
        </w:rPr>
        <w:t>1</w:t>
      </w:r>
      <w:r>
        <w:rPr>
          <w:rFonts w:cs="Arial"/>
        </w:rPr>
        <w:t>%</w:t>
      </w:r>
    </w:p>
    <w:p w:rsidR="00CD5D0F" w:rsidRDefault="00CD5D0F" w:rsidP="005349C1">
      <w:pPr>
        <w:pStyle w:val="Listenabsatz"/>
        <w:numPr>
          <w:ilvl w:val="0"/>
          <w:numId w:val="9"/>
        </w:numPr>
        <w:spacing w:line="276" w:lineRule="auto"/>
        <w:jc w:val="both"/>
        <w:rPr>
          <w:rFonts w:cs="Arial"/>
        </w:rPr>
      </w:pPr>
      <w:r>
        <w:rPr>
          <w:rFonts w:cs="Arial"/>
        </w:rPr>
        <w:t>Abschaffung der „kalten Progression“ (Valorisierung der Tarifgrenzen)</w:t>
      </w:r>
    </w:p>
    <w:p w:rsidR="00CD5D0F" w:rsidRDefault="00CD5D0F" w:rsidP="005349C1">
      <w:pPr>
        <w:pStyle w:val="Listenabsatz"/>
        <w:numPr>
          <w:ilvl w:val="0"/>
          <w:numId w:val="9"/>
        </w:numPr>
        <w:spacing w:line="276" w:lineRule="auto"/>
        <w:jc w:val="both"/>
        <w:rPr>
          <w:rFonts w:cs="Arial"/>
        </w:rPr>
      </w:pPr>
      <w:r>
        <w:rPr>
          <w:rFonts w:cs="Arial"/>
        </w:rPr>
        <w:t>Senkung der Körperschaftsteuer von 25% auf 24%</w:t>
      </w:r>
    </w:p>
    <w:p w:rsidR="00CD5D0F" w:rsidRDefault="00CD5D0F" w:rsidP="00CD5D0F">
      <w:pPr>
        <w:spacing w:line="276" w:lineRule="auto"/>
        <w:jc w:val="both"/>
        <w:rPr>
          <w:rFonts w:cs="Arial"/>
        </w:rPr>
      </w:pPr>
    </w:p>
    <w:p w:rsidR="00CD5D0F" w:rsidRPr="00CD5D0F" w:rsidRDefault="009B2784" w:rsidP="007A7F65">
      <w:pPr>
        <w:jc w:val="both"/>
        <w:rPr>
          <w:rFonts w:cs="Arial"/>
        </w:rPr>
      </w:pPr>
      <w:r w:rsidRPr="009B2784">
        <w:rPr>
          <w:b/>
          <w:bCs/>
          <w:shd w:val="clear" w:color="auto" w:fill="FBD4B4" w:themeFill="accent6" w:themeFillTint="66"/>
        </w:rPr>
        <w:t>TIPP</w:t>
      </w:r>
      <w:r w:rsidRPr="009B2784">
        <w:rPr>
          <w:shd w:val="clear" w:color="auto" w:fill="FBD4B4" w:themeFill="accent6" w:themeFillTint="66"/>
        </w:rPr>
        <w:t xml:space="preserve">: </w:t>
      </w:r>
      <w:r w:rsidR="00CD5D0F" w:rsidRPr="009B2784">
        <w:rPr>
          <w:shd w:val="clear" w:color="auto" w:fill="FBD4B4" w:themeFill="accent6" w:themeFillTint="66"/>
        </w:rPr>
        <w:t xml:space="preserve">Diese Steuersenkungen führen in aller Regel dazu, dass Ausgaben (sofern mit Gewinnen verrechenbar) im Jahr 2022 bzw Einnahmen möglichst im Jahr 2023 </w:t>
      </w:r>
      <w:r w:rsidR="000904AC" w:rsidRPr="009B2784">
        <w:rPr>
          <w:shd w:val="clear" w:color="auto" w:fill="FBD4B4" w:themeFill="accent6" w:themeFillTint="66"/>
        </w:rPr>
        <w:t>verwertet werden sollten.</w:t>
      </w:r>
      <w:r w:rsidR="00233492" w:rsidRPr="009B2784">
        <w:rPr>
          <w:shd w:val="clear" w:color="auto" w:fill="FBD4B4" w:themeFill="accent6" w:themeFillTint="66"/>
        </w:rPr>
        <w:t xml:space="preserve"> Eine Ausnahme dazu kann die Investition in klimafreundliche Anlagegüter darstellen, da dafür ab dem 1.1.2023 ein Investitionsfreibetrag zusteht</w:t>
      </w:r>
      <w:r w:rsidR="0057162D">
        <w:rPr>
          <w:rFonts w:cs="Arial"/>
        </w:rPr>
        <w:t>.</w:t>
      </w:r>
    </w:p>
    <w:p w:rsidR="00CD5D0F" w:rsidRDefault="00CD5D0F" w:rsidP="00B952A7">
      <w:pPr>
        <w:spacing w:line="276" w:lineRule="auto"/>
        <w:jc w:val="both"/>
        <w:rPr>
          <w:rFonts w:cs="Arial"/>
        </w:rPr>
      </w:pPr>
    </w:p>
    <w:p w:rsidR="0057162D" w:rsidRPr="00D101C1" w:rsidRDefault="0057162D" w:rsidP="00B952A7">
      <w:pPr>
        <w:spacing w:line="276" w:lineRule="auto"/>
        <w:jc w:val="both"/>
        <w:rPr>
          <w:rFonts w:cs="Arial"/>
        </w:rPr>
      </w:pPr>
    </w:p>
    <w:p w:rsidR="005778A6" w:rsidRPr="009B2784" w:rsidRDefault="009B2784" w:rsidP="009B2784">
      <w:pPr>
        <w:pStyle w:val="berschrift1"/>
        <w:rPr>
          <w:color w:val="E36C0A" w:themeColor="accent6" w:themeShade="BF"/>
          <w:sz w:val="24"/>
          <w:szCs w:val="24"/>
          <w:u w:val="none"/>
        </w:rPr>
      </w:pPr>
      <w:bookmarkStart w:id="21" w:name="_Toc116494054"/>
      <w:bookmarkStart w:id="22" w:name="_Toc116923130"/>
      <w:bookmarkStart w:id="23" w:name="_Toc306629692"/>
      <w:bookmarkStart w:id="24" w:name="_Toc306630489"/>
      <w:bookmarkStart w:id="25" w:name="_Toc306632113"/>
      <w:bookmarkStart w:id="26" w:name="_Hlk117006687"/>
      <w:r w:rsidRPr="009B2784">
        <w:rPr>
          <w:color w:val="E36C0A" w:themeColor="accent6" w:themeShade="BF"/>
          <w:sz w:val="24"/>
          <w:szCs w:val="24"/>
          <w:u w:val="none"/>
        </w:rPr>
        <w:t>STEUEROPTIMALE VERLUSTVERWERTUNG</w:t>
      </w:r>
      <w:bookmarkEnd w:id="21"/>
      <w:bookmarkEnd w:id="22"/>
    </w:p>
    <w:p w:rsidR="00B91056" w:rsidRPr="000C7B3B" w:rsidRDefault="003418D0" w:rsidP="009B2784">
      <w:pPr>
        <w:pStyle w:val="berschrift2"/>
        <w:numPr>
          <w:ilvl w:val="0"/>
          <w:numId w:val="0"/>
        </w:numPr>
        <w:tabs>
          <w:tab w:val="left" w:pos="426"/>
        </w:tabs>
        <w:ind w:left="426" w:hanging="426"/>
      </w:pPr>
      <w:bookmarkStart w:id="27" w:name="_Toc116494055"/>
      <w:bookmarkStart w:id="28" w:name="_Toc116923131"/>
      <w:bookmarkStart w:id="29" w:name="_Toc306629693"/>
      <w:bookmarkStart w:id="30" w:name="_Toc306630490"/>
      <w:bookmarkStart w:id="31" w:name="_Toc306631691"/>
      <w:bookmarkStart w:id="32" w:name="_Toc306631839"/>
      <w:bookmarkStart w:id="33" w:name="_Toc306632114"/>
      <w:bookmarkStart w:id="34" w:name="_Toc306693539"/>
      <w:bookmarkEnd w:id="23"/>
      <w:bookmarkEnd w:id="24"/>
      <w:bookmarkEnd w:id="25"/>
      <w:r w:rsidRPr="000C7B3B">
        <w:t>3.</w:t>
      </w:r>
      <w:r w:rsidR="000904AC">
        <w:t>1</w:t>
      </w:r>
      <w:r w:rsidR="009B2784">
        <w:tab/>
      </w:r>
      <w:r w:rsidR="00B91056" w:rsidRPr="000C7B3B">
        <w:t>Verrechnung von Verlustvorträgen</w:t>
      </w:r>
      <w:bookmarkEnd w:id="27"/>
      <w:bookmarkEnd w:id="28"/>
    </w:p>
    <w:bookmarkEnd w:id="26"/>
    <w:p w:rsidR="00B91056" w:rsidRDefault="00B91056" w:rsidP="00B952A7">
      <w:pPr>
        <w:spacing w:line="276" w:lineRule="auto"/>
        <w:jc w:val="both"/>
        <w:rPr>
          <w:rFonts w:cs="Arial"/>
        </w:rPr>
      </w:pPr>
      <w:r w:rsidRPr="00D101C1">
        <w:rPr>
          <w:rFonts w:cs="Arial"/>
        </w:rPr>
        <w:t xml:space="preserve">Vortragsfähige Verluste können bei </w:t>
      </w:r>
      <w:r w:rsidR="00AA1E93">
        <w:rPr>
          <w:rFonts w:cs="Arial"/>
        </w:rPr>
        <w:t>der</w:t>
      </w:r>
      <w:r w:rsidRPr="00D101C1">
        <w:rPr>
          <w:rFonts w:cs="Arial"/>
        </w:rPr>
        <w:t xml:space="preserve"> </w:t>
      </w:r>
      <w:r w:rsidRPr="00D101C1">
        <w:rPr>
          <w:rFonts w:cs="Arial"/>
          <w:b/>
        </w:rPr>
        <w:t xml:space="preserve">Körperschaftsteuer nur </w:t>
      </w:r>
      <w:r w:rsidR="00323A53">
        <w:rPr>
          <w:rFonts w:cs="Arial"/>
          <w:b/>
        </w:rPr>
        <w:t xml:space="preserve">mit </w:t>
      </w:r>
      <w:r w:rsidRPr="00D101C1">
        <w:rPr>
          <w:rFonts w:cs="Arial"/>
          <w:b/>
        </w:rPr>
        <w:t>bis zu 75%</w:t>
      </w:r>
      <w:r w:rsidRPr="00D101C1">
        <w:rPr>
          <w:rFonts w:cs="Arial"/>
        </w:rPr>
        <w:t xml:space="preserve"> des Gesamtbetrags der Einkünfte verrechnet werden. Ausgenommen von dieser 25%igen Mindestbesteuerung sind ua </w:t>
      </w:r>
      <w:r w:rsidR="007F7C22">
        <w:rPr>
          <w:rFonts w:cs="Arial"/>
        </w:rPr>
        <w:t xml:space="preserve">Liquidations- und </w:t>
      </w:r>
      <w:r w:rsidRPr="00D101C1">
        <w:rPr>
          <w:rFonts w:cs="Arial"/>
        </w:rPr>
        <w:t xml:space="preserve">Sanierungsgewinne </w:t>
      </w:r>
      <w:r w:rsidR="007F7C22">
        <w:rPr>
          <w:rFonts w:cs="Arial"/>
        </w:rPr>
        <w:t>sowie</w:t>
      </w:r>
      <w:r w:rsidRPr="00D101C1">
        <w:rPr>
          <w:rFonts w:cs="Arial"/>
        </w:rPr>
        <w:t xml:space="preserve"> Gewinne aus der Veräußerung von (Teil-)Betrieben und Mitunternehmeranteilen. Bei der </w:t>
      </w:r>
      <w:r w:rsidRPr="00D101C1">
        <w:rPr>
          <w:rFonts w:cs="Arial"/>
          <w:b/>
        </w:rPr>
        <w:t>Einkommensteuer</w:t>
      </w:r>
      <w:r w:rsidRPr="00D101C1">
        <w:rPr>
          <w:rFonts w:cs="Arial"/>
        </w:rPr>
        <w:t xml:space="preserve"> sind </w:t>
      </w:r>
      <w:r w:rsidR="00B53586">
        <w:rPr>
          <w:rFonts w:cs="Arial"/>
        </w:rPr>
        <w:t xml:space="preserve">vorgetragene </w:t>
      </w:r>
      <w:r w:rsidRPr="00D101C1">
        <w:rPr>
          <w:rFonts w:cs="Arial"/>
          <w:b/>
        </w:rPr>
        <w:t>Verluste zu 100%</w:t>
      </w:r>
      <w:r w:rsidRPr="00D101C1">
        <w:rPr>
          <w:rFonts w:cs="Arial"/>
        </w:rPr>
        <w:t xml:space="preserve"> mit dem Gesamtbetrag der Einkünfte zu verrechnen. Diese Regelung führt in jenen Fällen zu Nachteilen, in denen die vortragsfähigen Verluste annähernd so hoch wie der Gesamtbetrag der Einkünfte sind, da die Vorteile der niedrigen Tarifstufen bei der Einkommensteuer nicht ausgenützt werden können und auch Sonderausgaben und außergewöhnliche Belastungen steuerlich ins Leere gehen. </w:t>
      </w:r>
    </w:p>
    <w:p w:rsidR="009B2784" w:rsidRPr="00D101C1" w:rsidRDefault="009B2784" w:rsidP="00B952A7">
      <w:pPr>
        <w:spacing w:line="276" w:lineRule="auto"/>
        <w:jc w:val="both"/>
        <w:rPr>
          <w:rFonts w:cs="Arial"/>
        </w:rPr>
      </w:pPr>
    </w:p>
    <w:p w:rsidR="009B2784" w:rsidRDefault="002F1067" w:rsidP="009B2784">
      <w:pPr>
        <w:shd w:val="clear" w:color="auto" w:fill="FBD4B4" w:themeFill="accent6" w:themeFillTint="66"/>
        <w:spacing w:line="276" w:lineRule="auto"/>
        <w:jc w:val="both"/>
        <w:rPr>
          <w:rFonts w:cs="Arial"/>
          <w:shd w:val="clear" w:color="auto" w:fill="FBD4B4" w:themeFill="accent6" w:themeFillTint="66"/>
        </w:rPr>
      </w:pPr>
      <w:r w:rsidRPr="00D101C1">
        <w:rPr>
          <w:rFonts w:cs="Arial"/>
          <w:b/>
        </w:rPr>
        <w:t>TIPP</w:t>
      </w:r>
      <w:r w:rsidRPr="00D101C1">
        <w:rPr>
          <w:rFonts w:cs="Arial"/>
        </w:rPr>
        <w:t xml:space="preserve">: </w:t>
      </w:r>
      <w:r w:rsidRPr="00233F3F">
        <w:rPr>
          <w:rFonts w:cs="Arial"/>
          <w:shd w:val="clear" w:color="auto" w:fill="FBD4B4" w:themeFill="accent6" w:themeFillTint="66"/>
        </w:rPr>
        <w:t>Auch der Verlust eines Einnahmen-Ausgaben-Rechners ist unbeschränkt vortragsfähig.</w:t>
      </w:r>
      <w:bookmarkStart w:id="35" w:name="_Toc116494056"/>
    </w:p>
    <w:p w:rsidR="00B91056" w:rsidRPr="009B2784" w:rsidRDefault="007320CC" w:rsidP="007320CC">
      <w:pPr>
        <w:pStyle w:val="berschrift2"/>
        <w:numPr>
          <w:ilvl w:val="0"/>
          <w:numId w:val="0"/>
        </w:numPr>
        <w:tabs>
          <w:tab w:val="left" w:pos="426"/>
        </w:tabs>
        <w:ind w:left="426" w:hanging="426"/>
      </w:pPr>
      <w:bookmarkStart w:id="36" w:name="_Toc116923132"/>
      <w:bookmarkStart w:id="37" w:name="_Hlk117006719"/>
      <w:r>
        <w:t>3.2</w:t>
      </w:r>
      <w:r>
        <w:tab/>
      </w:r>
      <w:r w:rsidR="00B91056" w:rsidRPr="009B2784">
        <w:t>Verlustverwertung bei Kapitalgesellschaften durch Gruppenbesteuerung</w:t>
      </w:r>
      <w:bookmarkEnd w:id="35"/>
      <w:bookmarkEnd w:id="36"/>
      <w:r w:rsidR="00B91056" w:rsidRPr="009B2784">
        <w:t xml:space="preserve"> </w:t>
      </w:r>
    </w:p>
    <w:bookmarkEnd w:id="37"/>
    <w:p w:rsidR="00034ADC" w:rsidRPr="00D101C1" w:rsidRDefault="00323A53" w:rsidP="00B952A7">
      <w:pPr>
        <w:spacing w:line="276" w:lineRule="auto"/>
        <w:jc w:val="both"/>
        <w:rPr>
          <w:rFonts w:cs="Arial"/>
        </w:rPr>
      </w:pPr>
      <w:r>
        <w:rPr>
          <w:rFonts w:cs="Arial"/>
        </w:rPr>
        <w:t xml:space="preserve">Die </w:t>
      </w:r>
      <w:r w:rsidR="00B91056" w:rsidRPr="00D101C1">
        <w:rPr>
          <w:rFonts w:cs="Arial"/>
        </w:rPr>
        <w:t>innerhalb einer Unternehmensgruppe bei einzelnen in- oder ausländischen Kapitalgesellschaften angefallene</w:t>
      </w:r>
      <w:r>
        <w:rPr>
          <w:rFonts w:cs="Arial"/>
        </w:rPr>
        <w:t>n</w:t>
      </w:r>
      <w:r w:rsidR="00B91056" w:rsidRPr="00D101C1">
        <w:rPr>
          <w:rFonts w:cs="Arial"/>
        </w:rPr>
        <w:t xml:space="preserve"> </w:t>
      </w:r>
      <w:r w:rsidR="00B91056" w:rsidRPr="00D101C1">
        <w:rPr>
          <w:rFonts w:cs="Arial"/>
          <w:b/>
        </w:rPr>
        <w:t xml:space="preserve">Verluste </w:t>
      </w:r>
      <w:r w:rsidRPr="00D101C1">
        <w:rPr>
          <w:rFonts w:cs="Arial"/>
        </w:rPr>
        <w:t xml:space="preserve">können </w:t>
      </w:r>
      <w:r>
        <w:rPr>
          <w:rFonts w:cs="Arial"/>
        </w:rPr>
        <w:t>i</w:t>
      </w:r>
      <w:r w:rsidRPr="00D101C1">
        <w:rPr>
          <w:rFonts w:cs="Arial"/>
        </w:rPr>
        <w:t>m Rahmen der Gruppenbesteuerun</w:t>
      </w:r>
      <w:r>
        <w:rPr>
          <w:rFonts w:cs="Arial"/>
        </w:rPr>
        <w:t xml:space="preserve">g </w:t>
      </w:r>
      <w:r w:rsidR="00B91056" w:rsidRPr="00D101C1">
        <w:rPr>
          <w:rFonts w:cs="Arial"/>
          <w:b/>
        </w:rPr>
        <w:t>steueroptimal verwertet werden</w:t>
      </w:r>
      <w:r w:rsidR="00B91056" w:rsidRPr="00D101C1">
        <w:rPr>
          <w:rFonts w:cs="Arial"/>
        </w:rPr>
        <w:t xml:space="preserve">. Für die Begründung einer steuerlichen Unternehmensgruppe ist neben der ab Beginn des Wirtschaftsjahres erforderlichen </w:t>
      </w:r>
      <w:r w:rsidR="00B91056" w:rsidRPr="00D101C1">
        <w:rPr>
          <w:rFonts w:cs="Arial"/>
          <w:b/>
        </w:rPr>
        <w:t>finanziellen Verbindung</w:t>
      </w:r>
      <w:r w:rsidR="00B91056" w:rsidRPr="00D101C1">
        <w:rPr>
          <w:rFonts w:cs="Arial"/>
        </w:rPr>
        <w:t xml:space="preserve"> (Kapitalbeteiligung von mehr als 50% und Mehrheit der Stimmrechte) die </w:t>
      </w:r>
      <w:r w:rsidR="00B91056" w:rsidRPr="00D101C1">
        <w:rPr>
          <w:rFonts w:cs="Arial"/>
          <w:b/>
        </w:rPr>
        <w:t>Stellung eines Gruppenantrags</w:t>
      </w:r>
      <w:r w:rsidR="00B91056" w:rsidRPr="00D101C1">
        <w:rPr>
          <w:rFonts w:cs="Arial"/>
        </w:rPr>
        <w:t xml:space="preserve"> beim zuständigen Finanzamt erforderlich. </w:t>
      </w:r>
    </w:p>
    <w:p w:rsidR="007A7F65" w:rsidRDefault="007A7F65" w:rsidP="00B952A7">
      <w:pPr>
        <w:spacing w:line="276" w:lineRule="auto"/>
        <w:jc w:val="both"/>
        <w:rPr>
          <w:rFonts w:cs="Arial"/>
        </w:rPr>
      </w:pPr>
    </w:p>
    <w:p w:rsidR="00B91056" w:rsidRPr="00D101C1" w:rsidRDefault="00B91056" w:rsidP="00B952A7">
      <w:pPr>
        <w:spacing w:line="276" w:lineRule="auto"/>
        <w:jc w:val="both"/>
        <w:rPr>
          <w:rFonts w:cs="Arial"/>
        </w:rPr>
      </w:pPr>
      <w:r w:rsidRPr="00D101C1">
        <w:rPr>
          <w:rFonts w:cs="Arial"/>
        </w:rPr>
        <w:t xml:space="preserve">Dieser muss spätestens </w:t>
      </w:r>
      <w:r w:rsidRPr="00D101C1">
        <w:rPr>
          <w:rFonts w:cs="Arial"/>
          <w:b/>
        </w:rPr>
        <w:t>vor dem Bilanzstichtag</w:t>
      </w:r>
      <w:r w:rsidRPr="00D101C1">
        <w:rPr>
          <w:rFonts w:cs="Arial"/>
        </w:rPr>
        <w:t xml:space="preserve"> (der einzubeziehenden Gesellschaft) jenes Jahres gestellt werden, für das er erstmals wirksam sein soll. Kapitalgesellschaften, die auf den 31.12.20</w:t>
      </w:r>
      <w:r w:rsidR="00363570" w:rsidRPr="00D101C1">
        <w:rPr>
          <w:rFonts w:cs="Arial"/>
        </w:rPr>
        <w:t>2</w:t>
      </w:r>
      <w:r w:rsidR="000904AC">
        <w:rPr>
          <w:rFonts w:cs="Arial"/>
        </w:rPr>
        <w:t>2</w:t>
      </w:r>
      <w:r w:rsidRPr="00D101C1">
        <w:rPr>
          <w:rFonts w:cs="Arial"/>
        </w:rPr>
        <w:t xml:space="preserve"> bilanzieren und die bereits seit Beginn ihres Wirtschaftsjahres (im Regelfall seit 1.1.20</w:t>
      </w:r>
      <w:r w:rsidR="00363570" w:rsidRPr="00D101C1">
        <w:rPr>
          <w:rFonts w:cs="Arial"/>
        </w:rPr>
        <w:t>2</w:t>
      </w:r>
      <w:r w:rsidR="000904AC">
        <w:rPr>
          <w:rFonts w:cs="Arial"/>
        </w:rPr>
        <w:t>2</w:t>
      </w:r>
      <w:r w:rsidRPr="00D101C1">
        <w:rPr>
          <w:rFonts w:cs="Arial"/>
        </w:rPr>
        <w:t xml:space="preserve">) im Sinne der obigen Ausführungen finanziell verbunden sind, können daher durch die </w:t>
      </w:r>
      <w:r w:rsidRPr="00D101C1">
        <w:rPr>
          <w:rFonts w:cs="Arial"/>
          <w:b/>
        </w:rPr>
        <w:t>Stellung eines Gruppenantrags bis zum 31.12.20</w:t>
      </w:r>
      <w:r w:rsidR="00363570" w:rsidRPr="00D101C1">
        <w:rPr>
          <w:rFonts w:cs="Arial"/>
          <w:b/>
        </w:rPr>
        <w:t>2</w:t>
      </w:r>
      <w:r w:rsidR="000904AC">
        <w:rPr>
          <w:rFonts w:cs="Arial"/>
          <w:b/>
        </w:rPr>
        <w:t>2</w:t>
      </w:r>
      <w:r w:rsidRPr="00D101C1">
        <w:rPr>
          <w:rFonts w:cs="Arial"/>
          <w:b/>
        </w:rPr>
        <w:t xml:space="preserve"> </w:t>
      </w:r>
      <w:r w:rsidRPr="00D101C1">
        <w:rPr>
          <w:rFonts w:cs="Arial"/>
        </w:rPr>
        <w:t xml:space="preserve">noch </w:t>
      </w:r>
      <w:r w:rsidRPr="00D101C1">
        <w:rPr>
          <w:rFonts w:cs="Arial"/>
          <w:b/>
        </w:rPr>
        <w:t>für das gesamte Jahr 20</w:t>
      </w:r>
      <w:r w:rsidR="00363570" w:rsidRPr="00D101C1">
        <w:rPr>
          <w:rFonts w:cs="Arial"/>
          <w:b/>
        </w:rPr>
        <w:t>2</w:t>
      </w:r>
      <w:r w:rsidR="000904AC">
        <w:rPr>
          <w:rFonts w:cs="Arial"/>
          <w:b/>
        </w:rPr>
        <w:t>2</w:t>
      </w:r>
      <w:r w:rsidRPr="00D101C1">
        <w:rPr>
          <w:rFonts w:cs="Arial"/>
          <w:b/>
        </w:rPr>
        <w:t xml:space="preserve"> </w:t>
      </w:r>
      <w:r w:rsidRPr="00D101C1">
        <w:rPr>
          <w:rFonts w:cs="Arial"/>
        </w:rPr>
        <w:t>eine steuerliche Unternehmensgruppe bilden bzw in eine bereits bestehende Gruppe aufgenommen werden. Sie können damit die i</w:t>
      </w:r>
      <w:r w:rsidR="00353620" w:rsidRPr="00D101C1">
        <w:rPr>
          <w:rFonts w:cs="Arial"/>
        </w:rPr>
        <w:t>m Jahr</w:t>
      </w:r>
      <w:r w:rsidRPr="00D101C1">
        <w:rPr>
          <w:rFonts w:cs="Arial"/>
        </w:rPr>
        <w:t xml:space="preserve"> 20</w:t>
      </w:r>
      <w:r w:rsidR="00363570" w:rsidRPr="00D101C1">
        <w:rPr>
          <w:rFonts w:cs="Arial"/>
        </w:rPr>
        <w:t>2</w:t>
      </w:r>
      <w:r w:rsidR="000904AC">
        <w:rPr>
          <w:rFonts w:cs="Arial"/>
        </w:rPr>
        <w:t>2</w:t>
      </w:r>
      <w:r w:rsidRPr="00D101C1">
        <w:rPr>
          <w:rFonts w:cs="Arial"/>
        </w:rPr>
        <w:t xml:space="preserve"> bei einzelnen Gruppengesellschaften erwirtschafteten Verluste noch im Jahr 20</w:t>
      </w:r>
      <w:r w:rsidR="00363570" w:rsidRPr="00D101C1">
        <w:rPr>
          <w:rFonts w:cs="Arial"/>
        </w:rPr>
        <w:t>2</w:t>
      </w:r>
      <w:r w:rsidR="000904AC">
        <w:rPr>
          <w:rFonts w:cs="Arial"/>
        </w:rPr>
        <w:t>2</w:t>
      </w:r>
      <w:r w:rsidRPr="00D101C1">
        <w:rPr>
          <w:rFonts w:cs="Arial"/>
        </w:rPr>
        <w:t xml:space="preserve"> von den Gewinnen 20</w:t>
      </w:r>
      <w:r w:rsidR="00363570" w:rsidRPr="00D101C1">
        <w:rPr>
          <w:rFonts w:cs="Arial"/>
        </w:rPr>
        <w:t>2</w:t>
      </w:r>
      <w:r w:rsidR="000904AC">
        <w:rPr>
          <w:rFonts w:cs="Arial"/>
        </w:rPr>
        <w:t>2</w:t>
      </w:r>
      <w:r w:rsidRPr="00D101C1">
        <w:rPr>
          <w:rFonts w:cs="Arial"/>
        </w:rPr>
        <w:t xml:space="preserve"> anderer Gruppengesellschaften steuerlich absetzen. </w:t>
      </w:r>
      <w:bookmarkEnd w:id="29"/>
      <w:bookmarkEnd w:id="30"/>
      <w:bookmarkEnd w:id="31"/>
      <w:bookmarkEnd w:id="32"/>
      <w:bookmarkEnd w:id="33"/>
      <w:bookmarkEnd w:id="34"/>
    </w:p>
    <w:p w:rsidR="00390826" w:rsidRPr="00D101C1" w:rsidRDefault="00390826" w:rsidP="00B952A7">
      <w:pPr>
        <w:spacing w:line="276" w:lineRule="auto"/>
        <w:jc w:val="both"/>
        <w:rPr>
          <w:rFonts w:cs="Arial"/>
        </w:rPr>
      </w:pPr>
      <w:r w:rsidRPr="00D101C1">
        <w:rPr>
          <w:rFonts w:cs="Arial"/>
        </w:rPr>
        <w:t>Beachten Sie auch, dass für Vorgruppenverluste von Gruppenmitgliedern, die mit eigenen Gewinnen des Gruppenmitglieds zu verrechnen sind, die 75%</w:t>
      </w:r>
      <w:r w:rsidR="00F9548A">
        <w:rPr>
          <w:rFonts w:cs="Arial"/>
        </w:rPr>
        <w:t>-</w:t>
      </w:r>
      <w:r w:rsidRPr="00D101C1">
        <w:rPr>
          <w:rFonts w:cs="Arial"/>
        </w:rPr>
        <w:t xml:space="preserve">Verlustverrechnungsgrenze nicht gilt. </w:t>
      </w:r>
    </w:p>
    <w:p w:rsidR="00034ADC" w:rsidRPr="00D101C1" w:rsidRDefault="00034ADC" w:rsidP="00B952A7">
      <w:pPr>
        <w:spacing w:line="276" w:lineRule="auto"/>
        <w:jc w:val="both"/>
        <w:rPr>
          <w:rFonts w:cs="Arial"/>
          <w:bCs/>
        </w:rPr>
      </w:pPr>
    </w:p>
    <w:p w:rsidR="00034ADC" w:rsidRDefault="00034ADC" w:rsidP="00B952A7">
      <w:pPr>
        <w:spacing w:line="276" w:lineRule="auto"/>
        <w:jc w:val="both"/>
        <w:rPr>
          <w:rFonts w:cs="Arial"/>
          <w:lang w:eastAsia="de-AT"/>
        </w:rPr>
      </w:pPr>
      <w:r w:rsidRPr="00D101C1">
        <w:rPr>
          <w:rFonts w:cs="Arial"/>
          <w:bCs/>
        </w:rPr>
        <w:t xml:space="preserve">Durch die Einbeziehung ausländischer Tochtergesellschaften können auch </w:t>
      </w:r>
      <w:r w:rsidRPr="00D101C1">
        <w:rPr>
          <w:rFonts w:cs="Arial"/>
          <w:b/>
          <w:bCs/>
        </w:rPr>
        <w:t>Auslandsverluste</w:t>
      </w:r>
      <w:r w:rsidRPr="00D101C1">
        <w:rPr>
          <w:rFonts w:cs="Arial"/>
          <w:bCs/>
        </w:rPr>
        <w:t xml:space="preserve"> </w:t>
      </w:r>
      <w:r w:rsidR="00B53586">
        <w:rPr>
          <w:rFonts w:cs="Arial"/>
          <w:bCs/>
        </w:rPr>
        <w:t xml:space="preserve">– entsprechend der Beteiligungen - </w:t>
      </w:r>
      <w:r w:rsidRPr="00D101C1">
        <w:rPr>
          <w:rFonts w:cs="Arial"/>
          <w:bCs/>
        </w:rPr>
        <w:t xml:space="preserve">in Österreich verwertet werden. </w:t>
      </w:r>
      <w:r w:rsidRPr="00D101C1">
        <w:rPr>
          <w:rFonts w:cs="Arial"/>
          <w:b/>
        </w:rPr>
        <w:t>Allerdings</w:t>
      </w:r>
      <w:r w:rsidRPr="00D101C1">
        <w:rPr>
          <w:rFonts w:cs="Arial"/>
          <w:bCs/>
        </w:rPr>
        <w:t xml:space="preserve"> können nur </w:t>
      </w:r>
      <w:r w:rsidRPr="00D101C1">
        <w:rPr>
          <w:rFonts w:cs="Arial"/>
          <w:lang w:eastAsia="de-AT"/>
        </w:rPr>
        <w:t xml:space="preserve">ausländische Kapitalgesellschaften </w:t>
      </w:r>
      <w:r w:rsidR="007F7C22">
        <w:rPr>
          <w:rFonts w:cs="Arial"/>
          <w:lang w:eastAsia="de-AT"/>
        </w:rPr>
        <w:t xml:space="preserve">aus </w:t>
      </w:r>
      <w:r w:rsidRPr="00D101C1">
        <w:rPr>
          <w:rFonts w:cs="Arial"/>
          <w:lang w:eastAsia="de-AT"/>
        </w:rPr>
        <w:t>einem EU-Staat oder einem Drittstaat, mit dem eine umfassende Amtshilfe besteht</w:t>
      </w:r>
      <w:r w:rsidR="00F9548A">
        <w:rPr>
          <w:rFonts w:cs="Arial"/>
          <w:lang w:eastAsia="de-AT"/>
        </w:rPr>
        <w:t>,</w:t>
      </w:r>
      <w:r w:rsidR="009B2784">
        <w:rPr>
          <w:rFonts w:cs="Arial"/>
          <w:lang w:eastAsia="de-AT"/>
        </w:rPr>
        <w:t xml:space="preserve"> </w:t>
      </w:r>
      <w:r w:rsidR="007F7C22">
        <w:rPr>
          <w:rFonts w:cs="Arial"/>
          <w:lang w:eastAsia="de-AT"/>
        </w:rPr>
        <w:t>in die Unternehmensgruppe einbezogen werden</w:t>
      </w:r>
      <w:r w:rsidRPr="00D101C1">
        <w:rPr>
          <w:rFonts w:cs="Arial"/>
          <w:lang w:eastAsia="de-AT"/>
        </w:rPr>
        <w:t xml:space="preserve">. </w:t>
      </w:r>
      <w:r w:rsidRPr="00D101C1">
        <w:rPr>
          <w:rFonts w:cs="Arial"/>
        </w:rPr>
        <w:t>Ve</w:t>
      </w:r>
      <w:r w:rsidRPr="00D101C1">
        <w:rPr>
          <w:rFonts w:cs="Arial"/>
          <w:lang w:eastAsia="de-AT"/>
        </w:rPr>
        <w:t xml:space="preserve">rluste ausländischer Gruppenmitglieder können im Jahr der </w:t>
      </w:r>
      <w:r w:rsidRPr="00D101C1">
        <w:rPr>
          <w:rFonts w:cs="Arial"/>
          <w:b/>
          <w:lang w:eastAsia="de-AT"/>
        </w:rPr>
        <w:t>Verlustzurechnung höchstens im Ausmaß von 75%</w:t>
      </w:r>
      <w:r w:rsidRPr="00D101C1">
        <w:rPr>
          <w:rFonts w:cs="Arial"/>
          <w:lang w:eastAsia="de-AT"/>
        </w:rPr>
        <w:t xml:space="preserve"> des gesamten inländischen Gruppeneinkommens berücksichtigt werden. Die verbleibenden 25% gehen in den Verlustvortrag des Gruppenträgers ein. </w:t>
      </w:r>
    </w:p>
    <w:p w:rsidR="009B2784" w:rsidRPr="00D101C1" w:rsidRDefault="009B2784" w:rsidP="00B952A7">
      <w:pPr>
        <w:spacing w:line="276" w:lineRule="auto"/>
        <w:jc w:val="both"/>
        <w:rPr>
          <w:rFonts w:cs="Arial"/>
          <w:lang w:eastAsia="de-AT"/>
        </w:rPr>
      </w:pPr>
    </w:p>
    <w:p w:rsidR="00B91056" w:rsidRPr="00233F3F" w:rsidRDefault="00034ADC" w:rsidP="00233F3F">
      <w:pPr>
        <w:shd w:val="clear" w:color="auto" w:fill="FBD4B4" w:themeFill="accent6" w:themeFillTint="66"/>
        <w:spacing w:line="276" w:lineRule="auto"/>
        <w:jc w:val="both"/>
        <w:rPr>
          <w:rFonts w:cs="Arial"/>
          <w:lang w:val="de-DE"/>
        </w:rPr>
      </w:pPr>
      <w:r w:rsidRPr="00233F3F">
        <w:rPr>
          <w:rFonts w:cs="Arial"/>
          <w:b/>
          <w:bCs/>
          <w:lang w:val="de-DE"/>
        </w:rPr>
        <w:t>TIPP</w:t>
      </w:r>
      <w:r w:rsidRPr="00233F3F">
        <w:rPr>
          <w:rFonts w:cs="Arial"/>
          <w:lang w:val="de-DE"/>
        </w:rPr>
        <w:t xml:space="preserve">: Die Gruppenbesteuerung kann überdies auch zur steueroptimalen </w:t>
      </w:r>
      <w:r w:rsidRPr="00233F3F">
        <w:rPr>
          <w:rFonts w:cs="Arial"/>
          <w:b/>
          <w:bCs/>
          <w:lang w:val="de-DE"/>
        </w:rPr>
        <w:t>Verwertung von Finanzierungskosten</w:t>
      </w:r>
      <w:r w:rsidRPr="00233F3F">
        <w:rPr>
          <w:rFonts w:cs="Arial"/>
          <w:lang w:val="de-DE"/>
        </w:rPr>
        <w:t xml:space="preserve"> im Zusammenhang mit dem Erwerb von Anteilen an einer Kapitalgesellschaft verwendet werden, außer die Anteile wurden von einer Konzerngesellschaft oder einem Gesellschafter mit beherrschendem Einfluss erworben</w:t>
      </w:r>
      <w:r w:rsidR="002903A7" w:rsidRPr="00233F3F">
        <w:rPr>
          <w:rFonts w:cs="Arial"/>
          <w:lang w:val="de-DE"/>
        </w:rPr>
        <w:t>.</w:t>
      </w:r>
    </w:p>
    <w:p w:rsidR="007D73E1" w:rsidRPr="00D101C1" w:rsidRDefault="007D73E1" w:rsidP="00B952A7">
      <w:pPr>
        <w:spacing w:line="276" w:lineRule="auto"/>
        <w:jc w:val="both"/>
        <w:rPr>
          <w:rFonts w:cs="Arial"/>
        </w:rPr>
      </w:pPr>
    </w:p>
    <w:p w:rsidR="00B91056" w:rsidRPr="00A41F5A" w:rsidRDefault="00A41F5A" w:rsidP="007320CC">
      <w:pPr>
        <w:pStyle w:val="berschrift2"/>
        <w:numPr>
          <w:ilvl w:val="0"/>
          <w:numId w:val="0"/>
        </w:numPr>
        <w:ind w:left="426" w:hanging="426"/>
      </w:pPr>
      <w:bookmarkStart w:id="38" w:name="_Toc116494057"/>
      <w:bookmarkStart w:id="39" w:name="_Toc116923133"/>
      <w:bookmarkStart w:id="40" w:name="_Hlk117006808"/>
      <w:r>
        <w:t>3.3</w:t>
      </w:r>
      <w:r w:rsidR="007320CC">
        <w:tab/>
      </w:r>
      <w:r>
        <w:t>V</w:t>
      </w:r>
      <w:r w:rsidR="00B91056" w:rsidRPr="00A41F5A">
        <w:t xml:space="preserve">erluste bei kapitalistischen Mitunternehmern </w:t>
      </w:r>
      <w:r w:rsidR="000A63D1" w:rsidRPr="00A41F5A">
        <w:t>nur vortragsfähig</w:t>
      </w:r>
      <w:bookmarkEnd w:id="38"/>
      <w:bookmarkEnd w:id="39"/>
    </w:p>
    <w:bookmarkEnd w:id="40"/>
    <w:p w:rsidR="00B91056" w:rsidRDefault="000A63D1" w:rsidP="00B952A7">
      <w:pPr>
        <w:tabs>
          <w:tab w:val="right" w:leader="dot" w:pos="9072"/>
        </w:tabs>
        <w:spacing w:line="276" w:lineRule="auto"/>
        <w:jc w:val="both"/>
        <w:rPr>
          <w:rFonts w:cs="Arial"/>
        </w:rPr>
      </w:pPr>
      <w:r w:rsidRPr="00D101C1">
        <w:rPr>
          <w:rFonts w:cs="Arial"/>
        </w:rPr>
        <w:t>B</w:t>
      </w:r>
      <w:r w:rsidR="00B91056" w:rsidRPr="00D101C1">
        <w:rPr>
          <w:rFonts w:cs="Arial"/>
        </w:rPr>
        <w:t>ei natürlichen Personen</w:t>
      </w:r>
      <w:r w:rsidRPr="00D101C1">
        <w:rPr>
          <w:rFonts w:cs="Arial"/>
        </w:rPr>
        <w:t xml:space="preserve"> sind</w:t>
      </w:r>
      <w:r w:rsidR="00B91056" w:rsidRPr="00D101C1">
        <w:rPr>
          <w:rFonts w:cs="Arial"/>
        </w:rPr>
        <w:t xml:space="preserve"> Verluste als kapitalistische Mitunternehmer nicht ausgleichsfähig, inso</w:t>
      </w:r>
      <w:r w:rsidR="00390826" w:rsidRPr="00D101C1">
        <w:rPr>
          <w:rFonts w:cs="Arial"/>
        </w:rPr>
        <w:t>weit</w:t>
      </w:r>
      <w:r w:rsidR="00B91056" w:rsidRPr="00D101C1">
        <w:rPr>
          <w:rFonts w:cs="Arial"/>
        </w:rPr>
        <w:t xml:space="preserve"> dadurch ein negatives steuerliches Kapitalkonto entsteht. Derartige Verluste sind als Wartetastenverluste für künftige Gewinne (oder Einlagen) aus derselben Einkunftsquelle </w:t>
      </w:r>
      <w:r w:rsidR="00732130" w:rsidRPr="00D101C1">
        <w:rPr>
          <w:rFonts w:cs="Arial"/>
          <w:b/>
        </w:rPr>
        <w:t>vortragsfähig</w:t>
      </w:r>
      <w:r w:rsidR="00B91056" w:rsidRPr="00D101C1">
        <w:rPr>
          <w:rFonts w:cs="Arial"/>
        </w:rPr>
        <w:t xml:space="preserve">. </w:t>
      </w:r>
    </w:p>
    <w:p w:rsidR="005821D3" w:rsidRDefault="005821D3" w:rsidP="00B952A7">
      <w:pPr>
        <w:tabs>
          <w:tab w:val="right" w:leader="dot" w:pos="9072"/>
        </w:tabs>
        <w:spacing w:line="276" w:lineRule="auto"/>
        <w:jc w:val="both"/>
        <w:rPr>
          <w:rFonts w:cs="Arial"/>
        </w:rPr>
      </w:pPr>
    </w:p>
    <w:p w:rsidR="005821D3" w:rsidRDefault="005821D3" w:rsidP="00B952A7">
      <w:pPr>
        <w:tabs>
          <w:tab w:val="right" w:leader="dot" w:pos="9072"/>
        </w:tabs>
        <w:spacing w:line="276" w:lineRule="auto"/>
        <w:jc w:val="both"/>
        <w:rPr>
          <w:rFonts w:cs="Arial"/>
        </w:rPr>
      </w:pPr>
    </w:p>
    <w:p w:rsidR="00B91056" w:rsidRPr="007320CC" w:rsidRDefault="007320CC" w:rsidP="007320CC">
      <w:pPr>
        <w:pStyle w:val="berschrift1"/>
        <w:rPr>
          <w:color w:val="E36C0A" w:themeColor="accent6" w:themeShade="BF"/>
          <w:sz w:val="24"/>
          <w:szCs w:val="24"/>
          <w:u w:val="none"/>
        </w:rPr>
      </w:pPr>
      <w:bookmarkStart w:id="41" w:name="_Toc306629695"/>
      <w:bookmarkStart w:id="42" w:name="_Toc306630492"/>
      <w:bookmarkStart w:id="43" w:name="_Toc306632116"/>
      <w:bookmarkStart w:id="44" w:name="_Toc116494058"/>
      <w:bookmarkStart w:id="45" w:name="_Toc116923134"/>
      <w:bookmarkStart w:id="46" w:name="_Hlk117006850"/>
      <w:r w:rsidRPr="007320CC">
        <w:rPr>
          <w:color w:val="E36C0A" w:themeColor="accent6" w:themeShade="BF"/>
          <w:sz w:val="24"/>
          <w:szCs w:val="24"/>
          <w:u w:val="none"/>
        </w:rPr>
        <w:t>GEWINNFREIBETRAG</w:t>
      </w:r>
      <w:bookmarkEnd w:id="41"/>
      <w:bookmarkEnd w:id="42"/>
      <w:bookmarkEnd w:id="43"/>
      <w:r w:rsidRPr="007320CC">
        <w:rPr>
          <w:color w:val="E36C0A" w:themeColor="accent6" w:themeShade="BF"/>
          <w:sz w:val="24"/>
          <w:szCs w:val="24"/>
          <w:u w:val="none"/>
        </w:rPr>
        <w:t xml:space="preserve"> / INVESTITIONSFREIBETRAG</w:t>
      </w:r>
      <w:bookmarkEnd w:id="44"/>
      <w:bookmarkEnd w:id="45"/>
    </w:p>
    <w:p w:rsidR="00ED7460" w:rsidRDefault="00ED7460" w:rsidP="005349C1">
      <w:pPr>
        <w:pStyle w:val="berschrift2"/>
        <w:numPr>
          <w:ilvl w:val="1"/>
          <w:numId w:val="10"/>
        </w:numPr>
        <w:tabs>
          <w:tab w:val="right" w:leader="dot" w:pos="9072"/>
        </w:tabs>
        <w:spacing w:line="276" w:lineRule="auto"/>
        <w:jc w:val="both"/>
      </w:pPr>
      <w:bookmarkStart w:id="47" w:name="_Toc116494059"/>
      <w:bookmarkStart w:id="48" w:name="_Toc116923135"/>
      <w:bookmarkStart w:id="49" w:name="_Toc306693542"/>
      <w:bookmarkStart w:id="50" w:name="_Toc306632117"/>
      <w:bookmarkStart w:id="51" w:name="_Toc306631842"/>
      <w:bookmarkStart w:id="52" w:name="_Toc306631694"/>
      <w:bookmarkStart w:id="53" w:name="_Toc306630493"/>
      <w:bookmarkStart w:id="54" w:name="_Toc306629696"/>
      <w:r>
        <w:t>Gewinnfreibetrag</w:t>
      </w:r>
      <w:bookmarkEnd w:id="47"/>
      <w:bookmarkEnd w:id="48"/>
    </w:p>
    <w:bookmarkEnd w:id="46"/>
    <w:p w:rsidR="0087441C" w:rsidRPr="00D101C1" w:rsidRDefault="0087441C" w:rsidP="007A7F65">
      <w:pPr>
        <w:tabs>
          <w:tab w:val="right" w:leader="dot" w:pos="9072"/>
        </w:tabs>
        <w:spacing w:after="60" w:line="276" w:lineRule="auto"/>
        <w:jc w:val="both"/>
        <w:rPr>
          <w:rFonts w:cs="Arial"/>
        </w:rPr>
      </w:pPr>
      <w:r w:rsidRPr="00D101C1">
        <w:rPr>
          <w:rFonts w:cs="Arial"/>
        </w:rPr>
        <w:t>Als Abgeltung für die begünstigte Besteuerung des 13./14.</w:t>
      </w:r>
      <w:r w:rsidR="007D342E">
        <w:rPr>
          <w:rFonts w:cs="Arial"/>
        </w:rPr>
        <w:t xml:space="preserve"> </w:t>
      </w:r>
      <w:r w:rsidRPr="00D101C1">
        <w:rPr>
          <w:rFonts w:cs="Arial"/>
        </w:rPr>
        <w:t>Gehalts der Lohnsteuerpflichtigen steht allen einkommensteuerpflichtigen natürlichen Personen d</w:t>
      </w:r>
      <w:r w:rsidR="00B91056" w:rsidRPr="00D101C1">
        <w:rPr>
          <w:rFonts w:cs="Arial"/>
        </w:rPr>
        <w:t xml:space="preserve">er </w:t>
      </w:r>
      <w:r w:rsidR="00B91056" w:rsidRPr="00D101C1">
        <w:rPr>
          <w:rFonts w:cs="Arial"/>
          <w:b/>
        </w:rPr>
        <w:t>Gewinnfreibetrag (GFB)</w:t>
      </w:r>
      <w:r w:rsidR="00B91056" w:rsidRPr="00D101C1">
        <w:rPr>
          <w:rFonts w:cs="Arial"/>
        </w:rPr>
        <w:t xml:space="preserve"> unabhängig von der Gewinnermittlungsart zu</w:t>
      </w:r>
      <w:r w:rsidR="007F7C22">
        <w:rPr>
          <w:rFonts w:cs="Arial"/>
        </w:rPr>
        <w:t>. Der GFB</w:t>
      </w:r>
      <w:r w:rsidR="00B91056" w:rsidRPr="00D101C1">
        <w:rPr>
          <w:rFonts w:cs="Arial"/>
        </w:rPr>
        <w:t xml:space="preserve"> beträgt </w:t>
      </w:r>
      <w:r w:rsidR="007F7C22">
        <w:rPr>
          <w:rFonts w:cs="Arial"/>
        </w:rPr>
        <w:t xml:space="preserve">ab dem Jahr </w:t>
      </w:r>
      <w:r w:rsidR="001B4C5D" w:rsidRPr="001B4C5D">
        <w:rPr>
          <w:rFonts w:cs="Arial"/>
          <w:color w:val="5F497A" w:themeColor="accent4" w:themeShade="BF"/>
        </w:rPr>
        <w:t xml:space="preserve">2022 </w:t>
      </w:r>
      <w:r w:rsidR="00B91056" w:rsidRPr="00D101C1">
        <w:rPr>
          <w:rFonts w:cs="Arial"/>
        </w:rPr>
        <w:t xml:space="preserve">bis zu </w:t>
      </w:r>
      <w:r w:rsidR="00B91056" w:rsidRPr="00D101C1">
        <w:rPr>
          <w:rFonts w:cs="Arial"/>
          <w:b/>
        </w:rPr>
        <w:t>1</w:t>
      </w:r>
      <w:r w:rsidR="000904AC">
        <w:rPr>
          <w:rFonts w:cs="Arial"/>
          <w:b/>
        </w:rPr>
        <w:t>5</w:t>
      </w:r>
      <w:r w:rsidR="00B91056" w:rsidRPr="00D101C1">
        <w:rPr>
          <w:rFonts w:cs="Arial"/>
          <w:b/>
        </w:rPr>
        <w:t>% des Gewinns</w:t>
      </w:r>
      <w:r w:rsidR="00B91056" w:rsidRPr="00D101C1">
        <w:rPr>
          <w:rFonts w:cs="Arial"/>
        </w:rPr>
        <w:t xml:space="preserve">, </w:t>
      </w:r>
      <w:r w:rsidR="000A63D1" w:rsidRPr="00D101C1">
        <w:rPr>
          <w:rFonts w:cs="Arial"/>
          <w:b/>
        </w:rPr>
        <w:t>max</w:t>
      </w:r>
      <w:r w:rsidR="00B91056" w:rsidRPr="00D101C1">
        <w:rPr>
          <w:rFonts w:cs="Arial"/>
          <w:b/>
        </w:rPr>
        <w:t xml:space="preserve"> € 4</w:t>
      </w:r>
      <w:r w:rsidR="000904AC">
        <w:rPr>
          <w:rFonts w:cs="Arial"/>
          <w:b/>
        </w:rPr>
        <w:t>5</w:t>
      </w:r>
      <w:r w:rsidR="00B91056" w:rsidRPr="00D101C1">
        <w:rPr>
          <w:rFonts w:cs="Arial"/>
          <w:b/>
        </w:rPr>
        <w:t>.</w:t>
      </w:r>
      <w:r w:rsidR="000904AC">
        <w:rPr>
          <w:rFonts w:cs="Arial"/>
          <w:b/>
        </w:rPr>
        <w:t>950</w:t>
      </w:r>
      <w:r w:rsidR="00B91056" w:rsidRPr="00D101C1">
        <w:rPr>
          <w:rFonts w:cs="Arial"/>
          <w:b/>
        </w:rPr>
        <w:t xml:space="preserve"> p</w:t>
      </w:r>
      <w:r w:rsidR="007320CC">
        <w:rPr>
          <w:rFonts w:cs="Arial"/>
          <w:b/>
        </w:rPr>
        <w:t>a</w:t>
      </w:r>
      <w:r w:rsidR="00B91056" w:rsidRPr="00D101C1">
        <w:rPr>
          <w:rFonts w:cs="Arial"/>
        </w:rPr>
        <w:t>.</w:t>
      </w:r>
    </w:p>
    <w:tbl>
      <w:tblPr>
        <w:tblStyle w:val="Tabellenraster"/>
        <w:tblW w:w="9077" w:type="dxa"/>
        <w:tblInd w:w="-5" w:type="dxa"/>
        <w:tblLook w:val="04A0" w:firstRow="1" w:lastRow="0" w:firstColumn="1" w:lastColumn="0" w:noHBand="0" w:noVBand="1"/>
      </w:tblPr>
      <w:tblGrid>
        <w:gridCol w:w="3402"/>
        <w:gridCol w:w="1752"/>
        <w:gridCol w:w="1791"/>
        <w:gridCol w:w="2132"/>
      </w:tblGrid>
      <w:tr w:rsidR="00EC66B7" w:rsidRPr="00D101C1" w:rsidTr="00D1510C">
        <w:trPr>
          <w:trHeight w:val="265"/>
        </w:trPr>
        <w:tc>
          <w:tcPr>
            <w:tcW w:w="3402" w:type="dxa"/>
            <w:shd w:val="clear" w:color="auto" w:fill="auto"/>
          </w:tcPr>
          <w:p w:rsidR="00EC66B7" w:rsidRPr="00D101C1" w:rsidRDefault="00EC66B7" w:rsidP="00B952A7">
            <w:pPr>
              <w:spacing w:line="276" w:lineRule="auto"/>
              <w:jc w:val="both"/>
              <w:rPr>
                <w:rFonts w:cs="Arial"/>
                <w:b/>
              </w:rPr>
            </w:pPr>
            <w:r w:rsidRPr="00D101C1">
              <w:rPr>
                <w:rFonts w:cs="Arial"/>
                <w:b/>
              </w:rPr>
              <w:t xml:space="preserve">Gewinn </w:t>
            </w:r>
            <w:r w:rsidR="00437C6E" w:rsidRPr="00D101C1">
              <w:rPr>
                <w:rFonts w:cs="Arial"/>
                <w:b/>
              </w:rPr>
              <w:t>in €</w:t>
            </w:r>
          </w:p>
        </w:tc>
        <w:tc>
          <w:tcPr>
            <w:tcW w:w="1752" w:type="dxa"/>
            <w:shd w:val="clear" w:color="auto" w:fill="auto"/>
          </w:tcPr>
          <w:p w:rsidR="00EC66B7" w:rsidRPr="00D101C1" w:rsidRDefault="00EC66B7" w:rsidP="00A02B05">
            <w:pPr>
              <w:spacing w:line="276" w:lineRule="auto"/>
              <w:jc w:val="center"/>
              <w:rPr>
                <w:rFonts w:cs="Arial"/>
                <w:b/>
              </w:rPr>
            </w:pPr>
            <w:r w:rsidRPr="00D101C1">
              <w:rPr>
                <w:rFonts w:cs="Arial"/>
                <w:b/>
              </w:rPr>
              <w:t>%-Satz GFB</w:t>
            </w:r>
          </w:p>
        </w:tc>
        <w:tc>
          <w:tcPr>
            <w:tcW w:w="1791" w:type="dxa"/>
            <w:shd w:val="clear" w:color="auto" w:fill="auto"/>
          </w:tcPr>
          <w:p w:rsidR="00EC66B7" w:rsidRPr="00D101C1" w:rsidRDefault="00EC66B7" w:rsidP="00A02B05">
            <w:pPr>
              <w:spacing w:line="276" w:lineRule="auto"/>
              <w:jc w:val="center"/>
              <w:rPr>
                <w:rFonts w:cs="Arial"/>
                <w:b/>
              </w:rPr>
            </w:pPr>
            <w:r w:rsidRPr="00D101C1">
              <w:rPr>
                <w:rFonts w:cs="Arial"/>
                <w:b/>
              </w:rPr>
              <w:t>GFB</w:t>
            </w:r>
            <w:r w:rsidR="00437C6E" w:rsidRPr="00D101C1">
              <w:rPr>
                <w:rFonts w:cs="Arial"/>
                <w:b/>
              </w:rPr>
              <w:t xml:space="preserve"> in €</w:t>
            </w:r>
          </w:p>
        </w:tc>
        <w:tc>
          <w:tcPr>
            <w:tcW w:w="2132" w:type="dxa"/>
            <w:shd w:val="clear" w:color="auto" w:fill="auto"/>
          </w:tcPr>
          <w:p w:rsidR="00EC66B7" w:rsidRPr="00D101C1" w:rsidRDefault="00437C6E" w:rsidP="00A02B05">
            <w:pPr>
              <w:spacing w:line="276" w:lineRule="auto"/>
              <w:jc w:val="center"/>
              <w:rPr>
                <w:rFonts w:cs="Arial"/>
                <w:b/>
              </w:rPr>
            </w:pPr>
            <w:r w:rsidRPr="00D101C1">
              <w:rPr>
                <w:rFonts w:cs="Arial"/>
                <w:b/>
              </w:rPr>
              <w:t>insgesamt €</w:t>
            </w:r>
          </w:p>
        </w:tc>
      </w:tr>
      <w:tr w:rsidR="000904AC" w:rsidRPr="00D101C1" w:rsidTr="000904AC">
        <w:trPr>
          <w:trHeight w:val="265"/>
        </w:trPr>
        <w:tc>
          <w:tcPr>
            <w:tcW w:w="3402" w:type="dxa"/>
            <w:shd w:val="clear" w:color="auto" w:fill="FABF8F" w:themeFill="accent6" w:themeFillTint="99"/>
          </w:tcPr>
          <w:p w:rsidR="000904AC" w:rsidRPr="000904AC" w:rsidRDefault="000904AC" w:rsidP="00B952A7">
            <w:pPr>
              <w:spacing w:line="276" w:lineRule="auto"/>
              <w:jc w:val="both"/>
              <w:rPr>
                <w:rFonts w:cs="Arial"/>
              </w:rPr>
            </w:pPr>
            <w:r>
              <w:rPr>
                <w:rFonts w:cs="Arial"/>
              </w:rPr>
              <w:t>bis 30.000</w:t>
            </w:r>
          </w:p>
        </w:tc>
        <w:tc>
          <w:tcPr>
            <w:tcW w:w="1752" w:type="dxa"/>
            <w:shd w:val="clear" w:color="auto" w:fill="FABF8F" w:themeFill="accent6" w:themeFillTint="99"/>
          </w:tcPr>
          <w:p w:rsidR="000904AC" w:rsidRPr="000904AC" w:rsidRDefault="007A7F65" w:rsidP="007A7F65">
            <w:pPr>
              <w:spacing w:line="276" w:lineRule="auto"/>
              <w:ind w:right="504"/>
              <w:jc w:val="right"/>
              <w:rPr>
                <w:rFonts w:cs="Arial"/>
              </w:rPr>
            </w:pPr>
            <w:r>
              <w:rPr>
                <w:rFonts w:cs="Arial"/>
              </w:rPr>
              <w:t xml:space="preserve">  </w:t>
            </w:r>
            <w:r w:rsidR="000904AC">
              <w:rPr>
                <w:rFonts w:cs="Arial"/>
              </w:rPr>
              <w:t>15%</w:t>
            </w:r>
          </w:p>
        </w:tc>
        <w:tc>
          <w:tcPr>
            <w:tcW w:w="1791" w:type="dxa"/>
            <w:shd w:val="clear" w:color="auto" w:fill="FABF8F" w:themeFill="accent6" w:themeFillTint="99"/>
          </w:tcPr>
          <w:p w:rsidR="000904AC" w:rsidRPr="000904AC" w:rsidRDefault="007A7F65" w:rsidP="007A7F65">
            <w:pPr>
              <w:spacing w:line="276" w:lineRule="auto"/>
              <w:ind w:right="319"/>
              <w:jc w:val="right"/>
              <w:rPr>
                <w:rFonts w:cs="Arial"/>
              </w:rPr>
            </w:pPr>
            <w:r>
              <w:rPr>
                <w:rFonts w:cs="Arial"/>
              </w:rPr>
              <w:t xml:space="preserve">  </w:t>
            </w:r>
            <w:r w:rsidR="000904AC">
              <w:rPr>
                <w:rFonts w:cs="Arial"/>
              </w:rPr>
              <w:t>4.500</w:t>
            </w:r>
          </w:p>
        </w:tc>
        <w:tc>
          <w:tcPr>
            <w:tcW w:w="2132" w:type="dxa"/>
            <w:shd w:val="clear" w:color="auto" w:fill="FABF8F" w:themeFill="accent6" w:themeFillTint="99"/>
          </w:tcPr>
          <w:p w:rsidR="000904AC" w:rsidRPr="000904AC" w:rsidRDefault="007A7F65" w:rsidP="007A7F65">
            <w:pPr>
              <w:spacing w:line="276" w:lineRule="auto"/>
              <w:ind w:right="607"/>
              <w:jc w:val="right"/>
              <w:rPr>
                <w:rFonts w:cs="Arial"/>
              </w:rPr>
            </w:pPr>
            <w:r>
              <w:rPr>
                <w:rFonts w:cs="Arial"/>
              </w:rPr>
              <w:t xml:space="preserve">  </w:t>
            </w:r>
            <w:r w:rsidR="000904AC">
              <w:rPr>
                <w:rFonts w:cs="Arial"/>
              </w:rPr>
              <w:t>4.500</w:t>
            </w:r>
          </w:p>
        </w:tc>
      </w:tr>
      <w:tr w:rsidR="00EC66B7" w:rsidRPr="00D101C1" w:rsidTr="00D1510C">
        <w:tc>
          <w:tcPr>
            <w:tcW w:w="3402" w:type="dxa"/>
            <w:shd w:val="clear" w:color="auto" w:fill="FABF8F" w:themeFill="accent6" w:themeFillTint="99"/>
          </w:tcPr>
          <w:p w:rsidR="00EC66B7" w:rsidRPr="00D101C1" w:rsidRDefault="000904AC" w:rsidP="00B952A7">
            <w:pPr>
              <w:spacing w:line="276" w:lineRule="auto"/>
              <w:jc w:val="both"/>
              <w:rPr>
                <w:rFonts w:cs="Arial"/>
              </w:rPr>
            </w:pPr>
            <w:r>
              <w:rPr>
                <w:rFonts w:cs="Arial"/>
              </w:rPr>
              <w:t>30.000 –</w:t>
            </w:r>
            <w:r w:rsidR="00EC66B7" w:rsidRPr="00D101C1">
              <w:rPr>
                <w:rFonts w:cs="Arial"/>
              </w:rPr>
              <w:t xml:space="preserve"> 175.000</w:t>
            </w:r>
          </w:p>
        </w:tc>
        <w:tc>
          <w:tcPr>
            <w:tcW w:w="1752" w:type="dxa"/>
            <w:shd w:val="clear" w:color="auto" w:fill="FABF8F" w:themeFill="accent6" w:themeFillTint="99"/>
          </w:tcPr>
          <w:p w:rsidR="00EC66B7" w:rsidRPr="00D101C1" w:rsidRDefault="00EC66B7" w:rsidP="007A7F65">
            <w:pPr>
              <w:spacing w:line="276" w:lineRule="auto"/>
              <w:ind w:right="504"/>
              <w:jc w:val="right"/>
              <w:rPr>
                <w:rFonts w:cs="Arial"/>
              </w:rPr>
            </w:pPr>
            <w:r w:rsidRPr="00D101C1">
              <w:rPr>
                <w:rFonts w:cs="Arial"/>
              </w:rPr>
              <w:t>1</w:t>
            </w:r>
            <w:r w:rsidR="000904AC">
              <w:rPr>
                <w:rFonts w:cs="Arial"/>
              </w:rPr>
              <w:t>3</w:t>
            </w:r>
            <w:r w:rsidRPr="00D101C1">
              <w:rPr>
                <w:rFonts w:cs="Arial"/>
              </w:rPr>
              <w:t>%</w:t>
            </w:r>
          </w:p>
        </w:tc>
        <w:tc>
          <w:tcPr>
            <w:tcW w:w="1791" w:type="dxa"/>
            <w:shd w:val="clear" w:color="auto" w:fill="FABF8F" w:themeFill="accent6" w:themeFillTint="99"/>
          </w:tcPr>
          <w:p w:rsidR="00EC66B7" w:rsidRPr="00D101C1" w:rsidRDefault="000904AC" w:rsidP="007A7F65">
            <w:pPr>
              <w:spacing w:line="276" w:lineRule="auto"/>
              <w:ind w:right="319"/>
              <w:jc w:val="right"/>
              <w:rPr>
                <w:rFonts w:cs="Arial"/>
              </w:rPr>
            </w:pPr>
            <w:r>
              <w:rPr>
                <w:rFonts w:cs="Arial"/>
              </w:rPr>
              <w:t>18.850</w:t>
            </w:r>
          </w:p>
        </w:tc>
        <w:tc>
          <w:tcPr>
            <w:tcW w:w="2132" w:type="dxa"/>
            <w:shd w:val="clear" w:color="auto" w:fill="FABF8F" w:themeFill="accent6" w:themeFillTint="99"/>
          </w:tcPr>
          <w:p w:rsidR="00437C6E" w:rsidRPr="00D101C1" w:rsidRDefault="000904AC" w:rsidP="007A7F65">
            <w:pPr>
              <w:spacing w:line="276" w:lineRule="auto"/>
              <w:ind w:right="607"/>
              <w:jc w:val="right"/>
              <w:rPr>
                <w:rFonts w:cs="Arial"/>
              </w:rPr>
            </w:pPr>
            <w:r>
              <w:rPr>
                <w:rFonts w:cs="Arial"/>
              </w:rPr>
              <w:t>23.350</w:t>
            </w:r>
          </w:p>
        </w:tc>
      </w:tr>
      <w:tr w:rsidR="00EC66B7" w:rsidRPr="00D101C1" w:rsidTr="00D1510C">
        <w:tc>
          <w:tcPr>
            <w:tcW w:w="3402" w:type="dxa"/>
            <w:shd w:val="clear" w:color="auto" w:fill="FABF8F" w:themeFill="accent6" w:themeFillTint="99"/>
          </w:tcPr>
          <w:p w:rsidR="00EC66B7" w:rsidRPr="00D101C1" w:rsidRDefault="00EC66B7" w:rsidP="00B952A7">
            <w:pPr>
              <w:spacing w:line="276" w:lineRule="auto"/>
              <w:jc w:val="both"/>
              <w:rPr>
                <w:rFonts w:cs="Arial"/>
              </w:rPr>
            </w:pPr>
            <w:r w:rsidRPr="00D101C1">
              <w:rPr>
                <w:rFonts w:cs="Arial"/>
              </w:rPr>
              <w:t>175.000 – 350.000</w:t>
            </w:r>
          </w:p>
        </w:tc>
        <w:tc>
          <w:tcPr>
            <w:tcW w:w="1752" w:type="dxa"/>
            <w:shd w:val="clear" w:color="auto" w:fill="FABF8F" w:themeFill="accent6" w:themeFillTint="99"/>
          </w:tcPr>
          <w:p w:rsidR="00EC66B7" w:rsidRPr="00D101C1" w:rsidRDefault="00BE09C1" w:rsidP="007A7F65">
            <w:pPr>
              <w:spacing w:line="276" w:lineRule="auto"/>
              <w:ind w:right="504"/>
              <w:jc w:val="right"/>
              <w:rPr>
                <w:rFonts w:cs="Arial"/>
              </w:rPr>
            </w:pPr>
            <w:r>
              <w:rPr>
                <w:rFonts w:cs="Arial"/>
              </w:rPr>
              <w:t xml:space="preserve">   </w:t>
            </w:r>
            <w:r w:rsidR="00EC66B7" w:rsidRPr="00D101C1">
              <w:rPr>
                <w:rFonts w:cs="Arial"/>
              </w:rPr>
              <w:t>7%</w:t>
            </w:r>
          </w:p>
        </w:tc>
        <w:tc>
          <w:tcPr>
            <w:tcW w:w="1791" w:type="dxa"/>
            <w:shd w:val="clear" w:color="auto" w:fill="FABF8F" w:themeFill="accent6" w:themeFillTint="99"/>
          </w:tcPr>
          <w:p w:rsidR="00EC66B7" w:rsidRPr="00D101C1" w:rsidRDefault="00EC66B7" w:rsidP="007A7F65">
            <w:pPr>
              <w:spacing w:line="276" w:lineRule="auto"/>
              <w:ind w:right="319"/>
              <w:jc w:val="right"/>
              <w:rPr>
                <w:rFonts w:cs="Arial"/>
              </w:rPr>
            </w:pPr>
            <w:r w:rsidRPr="00D101C1">
              <w:rPr>
                <w:rFonts w:cs="Arial"/>
              </w:rPr>
              <w:t>12</w:t>
            </w:r>
            <w:r w:rsidR="00437C6E" w:rsidRPr="00D101C1">
              <w:rPr>
                <w:rFonts w:cs="Arial"/>
              </w:rPr>
              <w:t>.</w:t>
            </w:r>
            <w:r w:rsidRPr="00D101C1">
              <w:rPr>
                <w:rFonts w:cs="Arial"/>
              </w:rPr>
              <w:t>250</w:t>
            </w:r>
          </w:p>
        </w:tc>
        <w:tc>
          <w:tcPr>
            <w:tcW w:w="2132" w:type="dxa"/>
            <w:shd w:val="clear" w:color="auto" w:fill="FABF8F" w:themeFill="accent6" w:themeFillTint="99"/>
          </w:tcPr>
          <w:p w:rsidR="00EC66B7" w:rsidRPr="00D101C1" w:rsidRDefault="00437C6E" w:rsidP="007A7F65">
            <w:pPr>
              <w:spacing w:line="276" w:lineRule="auto"/>
              <w:ind w:right="607"/>
              <w:jc w:val="right"/>
              <w:rPr>
                <w:rFonts w:cs="Arial"/>
              </w:rPr>
            </w:pPr>
            <w:r w:rsidRPr="00D101C1">
              <w:rPr>
                <w:rFonts w:cs="Arial"/>
              </w:rPr>
              <w:t>35.000</w:t>
            </w:r>
          </w:p>
        </w:tc>
      </w:tr>
      <w:tr w:rsidR="00EC66B7" w:rsidRPr="00D101C1" w:rsidTr="00D1510C">
        <w:tc>
          <w:tcPr>
            <w:tcW w:w="3402" w:type="dxa"/>
            <w:shd w:val="clear" w:color="auto" w:fill="FABF8F" w:themeFill="accent6" w:themeFillTint="99"/>
          </w:tcPr>
          <w:p w:rsidR="00EC66B7" w:rsidRPr="00D101C1" w:rsidRDefault="00EC66B7" w:rsidP="00B952A7">
            <w:pPr>
              <w:spacing w:line="276" w:lineRule="auto"/>
              <w:jc w:val="both"/>
              <w:rPr>
                <w:rFonts w:cs="Arial"/>
              </w:rPr>
            </w:pPr>
            <w:r w:rsidRPr="00D101C1">
              <w:rPr>
                <w:rFonts w:cs="Arial"/>
              </w:rPr>
              <w:t>350.00</w:t>
            </w:r>
            <w:r w:rsidR="00437C6E" w:rsidRPr="00D101C1">
              <w:rPr>
                <w:rFonts w:cs="Arial"/>
              </w:rPr>
              <w:t>0</w:t>
            </w:r>
            <w:r w:rsidRPr="00D101C1">
              <w:rPr>
                <w:rFonts w:cs="Arial"/>
              </w:rPr>
              <w:t xml:space="preserve"> </w:t>
            </w:r>
            <w:r w:rsidR="00437C6E" w:rsidRPr="00D101C1">
              <w:rPr>
                <w:rFonts w:cs="Arial"/>
              </w:rPr>
              <w:t xml:space="preserve">– </w:t>
            </w:r>
            <w:r w:rsidRPr="00D101C1">
              <w:rPr>
                <w:rFonts w:cs="Arial"/>
              </w:rPr>
              <w:t>580.000</w:t>
            </w:r>
          </w:p>
        </w:tc>
        <w:tc>
          <w:tcPr>
            <w:tcW w:w="1752" w:type="dxa"/>
            <w:shd w:val="clear" w:color="auto" w:fill="FABF8F" w:themeFill="accent6" w:themeFillTint="99"/>
          </w:tcPr>
          <w:p w:rsidR="00EC66B7" w:rsidRPr="00D101C1" w:rsidRDefault="00BE09C1" w:rsidP="007A7F65">
            <w:pPr>
              <w:spacing w:line="276" w:lineRule="auto"/>
              <w:ind w:right="504"/>
              <w:jc w:val="right"/>
              <w:rPr>
                <w:rFonts w:cs="Arial"/>
              </w:rPr>
            </w:pPr>
            <w:r>
              <w:rPr>
                <w:rFonts w:cs="Arial"/>
              </w:rPr>
              <w:t xml:space="preserve">   </w:t>
            </w:r>
            <w:r w:rsidR="00EC66B7" w:rsidRPr="00D101C1">
              <w:rPr>
                <w:rFonts w:cs="Arial"/>
              </w:rPr>
              <w:t>4,5%</w:t>
            </w:r>
          </w:p>
        </w:tc>
        <w:tc>
          <w:tcPr>
            <w:tcW w:w="1791" w:type="dxa"/>
            <w:shd w:val="clear" w:color="auto" w:fill="FABF8F" w:themeFill="accent6" w:themeFillTint="99"/>
          </w:tcPr>
          <w:p w:rsidR="00EC66B7" w:rsidRPr="00D101C1" w:rsidRDefault="00437C6E" w:rsidP="007A7F65">
            <w:pPr>
              <w:spacing w:line="276" w:lineRule="auto"/>
              <w:ind w:right="319"/>
              <w:jc w:val="right"/>
              <w:rPr>
                <w:rFonts w:cs="Arial"/>
              </w:rPr>
            </w:pPr>
            <w:r w:rsidRPr="00D101C1">
              <w:rPr>
                <w:rFonts w:cs="Arial"/>
              </w:rPr>
              <w:t>10.350</w:t>
            </w:r>
          </w:p>
        </w:tc>
        <w:tc>
          <w:tcPr>
            <w:tcW w:w="2132" w:type="dxa"/>
            <w:shd w:val="clear" w:color="auto" w:fill="FABF8F" w:themeFill="accent6" w:themeFillTint="99"/>
          </w:tcPr>
          <w:p w:rsidR="00EC66B7" w:rsidRPr="00D101C1" w:rsidRDefault="000904AC" w:rsidP="007A7F65">
            <w:pPr>
              <w:spacing w:line="276" w:lineRule="auto"/>
              <w:ind w:right="607"/>
              <w:jc w:val="right"/>
              <w:rPr>
                <w:rFonts w:cs="Arial"/>
              </w:rPr>
            </w:pPr>
            <w:r>
              <w:rPr>
                <w:rFonts w:cs="Arial"/>
              </w:rPr>
              <w:t>45.950</w:t>
            </w:r>
          </w:p>
        </w:tc>
      </w:tr>
      <w:tr w:rsidR="00437C6E" w:rsidRPr="00D101C1" w:rsidTr="00D1510C">
        <w:tc>
          <w:tcPr>
            <w:tcW w:w="3402" w:type="dxa"/>
            <w:shd w:val="clear" w:color="auto" w:fill="FABF8F" w:themeFill="accent6" w:themeFillTint="99"/>
          </w:tcPr>
          <w:p w:rsidR="00437C6E" w:rsidRPr="00D101C1" w:rsidRDefault="00437C6E" w:rsidP="00B952A7">
            <w:pPr>
              <w:spacing w:line="276" w:lineRule="auto"/>
              <w:jc w:val="both"/>
              <w:rPr>
                <w:rFonts w:cs="Arial"/>
              </w:rPr>
            </w:pPr>
            <w:r w:rsidRPr="00D101C1">
              <w:rPr>
                <w:rFonts w:cs="Arial"/>
              </w:rPr>
              <w:t>über 580.000</w:t>
            </w:r>
          </w:p>
        </w:tc>
        <w:tc>
          <w:tcPr>
            <w:tcW w:w="1752" w:type="dxa"/>
            <w:shd w:val="clear" w:color="auto" w:fill="FABF8F" w:themeFill="accent6" w:themeFillTint="99"/>
          </w:tcPr>
          <w:p w:rsidR="00437C6E" w:rsidRPr="00D101C1" w:rsidRDefault="00BE09C1" w:rsidP="007A7F65">
            <w:pPr>
              <w:spacing w:line="276" w:lineRule="auto"/>
              <w:ind w:right="504"/>
              <w:jc w:val="right"/>
              <w:rPr>
                <w:rFonts w:cs="Arial"/>
              </w:rPr>
            </w:pPr>
            <w:r>
              <w:rPr>
                <w:rFonts w:cs="Arial"/>
              </w:rPr>
              <w:t xml:space="preserve">     </w:t>
            </w:r>
            <w:r w:rsidR="00437C6E" w:rsidRPr="00D101C1">
              <w:rPr>
                <w:rFonts w:cs="Arial"/>
              </w:rPr>
              <w:t>0%</w:t>
            </w:r>
          </w:p>
        </w:tc>
        <w:tc>
          <w:tcPr>
            <w:tcW w:w="1791" w:type="dxa"/>
            <w:shd w:val="clear" w:color="auto" w:fill="FABF8F" w:themeFill="accent6" w:themeFillTint="99"/>
          </w:tcPr>
          <w:p w:rsidR="00437C6E" w:rsidRPr="00D101C1" w:rsidRDefault="00437C6E" w:rsidP="007A7F65">
            <w:pPr>
              <w:spacing w:line="276" w:lineRule="auto"/>
              <w:ind w:right="319"/>
              <w:jc w:val="right"/>
              <w:rPr>
                <w:rFonts w:cs="Arial"/>
              </w:rPr>
            </w:pPr>
            <w:r w:rsidRPr="00D101C1">
              <w:rPr>
                <w:rFonts w:cs="Arial"/>
              </w:rPr>
              <w:t>0</w:t>
            </w:r>
          </w:p>
        </w:tc>
        <w:tc>
          <w:tcPr>
            <w:tcW w:w="2132" w:type="dxa"/>
            <w:shd w:val="clear" w:color="auto" w:fill="FABF8F" w:themeFill="accent6" w:themeFillTint="99"/>
          </w:tcPr>
          <w:p w:rsidR="00437C6E" w:rsidRPr="00D101C1" w:rsidRDefault="00437C6E" w:rsidP="007A7F65">
            <w:pPr>
              <w:spacing w:line="276" w:lineRule="auto"/>
              <w:ind w:right="607"/>
              <w:jc w:val="right"/>
              <w:rPr>
                <w:rFonts w:cs="Arial"/>
              </w:rPr>
            </w:pPr>
            <w:r w:rsidRPr="00D101C1">
              <w:rPr>
                <w:rFonts w:cs="Arial"/>
              </w:rPr>
              <w:t>45.</w:t>
            </w:r>
            <w:r w:rsidR="000904AC">
              <w:rPr>
                <w:rFonts w:cs="Arial"/>
              </w:rPr>
              <w:t>9</w:t>
            </w:r>
            <w:r w:rsidRPr="00D101C1">
              <w:rPr>
                <w:rFonts w:cs="Arial"/>
              </w:rPr>
              <w:t>50</w:t>
            </w:r>
          </w:p>
        </w:tc>
      </w:tr>
    </w:tbl>
    <w:p w:rsidR="0087441C" w:rsidRPr="00D101C1" w:rsidRDefault="0087441C" w:rsidP="00B952A7">
      <w:pPr>
        <w:spacing w:line="276" w:lineRule="auto"/>
        <w:jc w:val="both"/>
        <w:rPr>
          <w:rFonts w:cs="Arial"/>
        </w:rPr>
      </w:pPr>
    </w:p>
    <w:p w:rsidR="00B91056" w:rsidRPr="00D101C1" w:rsidRDefault="00437C6E" w:rsidP="00B952A7">
      <w:pPr>
        <w:spacing w:line="276" w:lineRule="auto"/>
        <w:jc w:val="both"/>
        <w:rPr>
          <w:rFonts w:cs="Arial"/>
          <w:b/>
        </w:rPr>
      </w:pPr>
      <w:r w:rsidRPr="00D101C1">
        <w:rPr>
          <w:rFonts w:cs="Arial"/>
        </w:rPr>
        <w:t>Ein</w:t>
      </w:r>
      <w:r w:rsidRPr="00D101C1">
        <w:rPr>
          <w:rFonts w:cs="Arial"/>
          <w:b/>
        </w:rPr>
        <w:t xml:space="preserve"> Grundfreibetrag </w:t>
      </w:r>
      <w:r w:rsidRPr="00D101C1">
        <w:rPr>
          <w:rFonts w:cs="Arial"/>
        </w:rPr>
        <w:t>von</w:t>
      </w:r>
      <w:r w:rsidRPr="00D101C1">
        <w:rPr>
          <w:rFonts w:cs="Arial"/>
          <w:b/>
        </w:rPr>
        <w:t xml:space="preserve"> 1</w:t>
      </w:r>
      <w:r w:rsidR="000904AC">
        <w:rPr>
          <w:rFonts w:cs="Arial"/>
          <w:b/>
        </w:rPr>
        <w:t>5</w:t>
      </w:r>
      <w:r w:rsidRPr="00D101C1">
        <w:rPr>
          <w:rFonts w:cs="Arial"/>
          <w:b/>
        </w:rPr>
        <w:t xml:space="preserve">% </w:t>
      </w:r>
      <w:r w:rsidRPr="00A165B9">
        <w:rPr>
          <w:rFonts w:cs="Arial"/>
          <w:bCs/>
        </w:rPr>
        <w:t>von</w:t>
      </w:r>
      <w:r w:rsidRPr="00D101C1">
        <w:rPr>
          <w:rFonts w:cs="Arial"/>
          <w:b/>
        </w:rPr>
        <w:t xml:space="preserve"> </w:t>
      </w:r>
      <w:r w:rsidRPr="00D101C1">
        <w:rPr>
          <w:rFonts w:cs="Arial"/>
        </w:rPr>
        <w:t>bis zu</w:t>
      </w:r>
      <w:r w:rsidR="00B91056" w:rsidRPr="00D101C1">
        <w:rPr>
          <w:rFonts w:cs="Arial"/>
          <w:b/>
        </w:rPr>
        <w:t xml:space="preserve"> € 30.000 Gewinn</w:t>
      </w:r>
      <w:r w:rsidR="00B91056" w:rsidRPr="00D101C1">
        <w:rPr>
          <w:rFonts w:cs="Arial"/>
        </w:rPr>
        <w:t xml:space="preserve"> steht Steuerpflichtigen automatisch zu (</w:t>
      </w:r>
      <w:r w:rsidR="005B6A6A" w:rsidRPr="00D101C1">
        <w:rPr>
          <w:rFonts w:cs="Arial"/>
        </w:rPr>
        <w:t>1</w:t>
      </w:r>
      <w:r w:rsidR="000904AC">
        <w:rPr>
          <w:rFonts w:cs="Arial"/>
        </w:rPr>
        <w:t>5</w:t>
      </w:r>
      <w:r w:rsidR="005B6A6A" w:rsidRPr="00D101C1">
        <w:rPr>
          <w:rFonts w:cs="Arial"/>
        </w:rPr>
        <w:t>% von € 30.000</w:t>
      </w:r>
      <w:r w:rsidR="00B91056" w:rsidRPr="00D101C1">
        <w:rPr>
          <w:rFonts w:cs="Arial"/>
        </w:rPr>
        <w:t xml:space="preserve"> = </w:t>
      </w:r>
      <w:r w:rsidR="00B91056" w:rsidRPr="00D101C1">
        <w:rPr>
          <w:rFonts w:cs="Arial"/>
          <w:b/>
        </w:rPr>
        <w:t xml:space="preserve">€ </w:t>
      </w:r>
      <w:r w:rsidR="000904AC">
        <w:rPr>
          <w:rFonts w:cs="Arial"/>
          <w:b/>
        </w:rPr>
        <w:t>4</w:t>
      </w:r>
      <w:r w:rsidR="00B91056" w:rsidRPr="00D101C1">
        <w:rPr>
          <w:rFonts w:cs="Arial"/>
          <w:b/>
        </w:rPr>
        <w:t>.</w:t>
      </w:r>
      <w:r w:rsidR="000904AC">
        <w:rPr>
          <w:rFonts w:cs="Arial"/>
          <w:b/>
        </w:rPr>
        <w:t>5</w:t>
      </w:r>
      <w:r w:rsidR="00B91056" w:rsidRPr="00D101C1">
        <w:rPr>
          <w:rFonts w:cs="Arial"/>
          <w:b/>
        </w:rPr>
        <w:t>00</w:t>
      </w:r>
      <w:r w:rsidR="00B91056" w:rsidRPr="00D101C1">
        <w:rPr>
          <w:rFonts w:cs="Arial"/>
        </w:rPr>
        <w:t xml:space="preserve">). </w:t>
      </w:r>
      <w:r w:rsidR="005B6A6A" w:rsidRPr="00D101C1">
        <w:rPr>
          <w:rFonts w:cs="Arial"/>
        </w:rPr>
        <w:t>Für</w:t>
      </w:r>
      <w:r w:rsidR="00B91056" w:rsidRPr="00D101C1">
        <w:rPr>
          <w:rFonts w:cs="Arial"/>
        </w:rPr>
        <w:t xml:space="preserve"> Gewinn</w:t>
      </w:r>
      <w:r w:rsidR="005B6A6A" w:rsidRPr="00D101C1">
        <w:rPr>
          <w:rFonts w:cs="Arial"/>
        </w:rPr>
        <w:t>e</w:t>
      </w:r>
      <w:r w:rsidR="00B91056" w:rsidRPr="00D101C1">
        <w:rPr>
          <w:rFonts w:cs="Arial"/>
        </w:rPr>
        <w:t xml:space="preserve"> </w:t>
      </w:r>
      <w:r w:rsidR="00390826" w:rsidRPr="00D101C1">
        <w:rPr>
          <w:rFonts w:cs="Arial"/>
        </w:rPr>
        <w:t>über</w:t>
      </w:r>
      <w:r w:rsidR="00B91056" w:rsidRPr="00D101C1">
        <w:rPr>
          <w:rFonts w:cs="Arial"/>
        </w:rPr>
        <w:t xml:space="preserve"> € 30.000 steht ein über den Grundfreibetrag hinausgehender </w:t>
      </w:r>
      <w:r w:rsidR="00B91056" w:rsidRPr="00D101C1">
        <w:rPr>
          <w:rFonts w:cs="Arial"/>
          <w:b/>
        </w:rPr>
        <w:t>(investitionsbedingter) GFB</w:t>
      </w:r>
      <w:r w:rsidR="00B91056" w:rsidRPr="00D101C1">
        <w:rPr>
          <w:rFonts w:cs="Arial"/>
        </w:rPr>
        <w:t xml:space="preserve"> nur zu, wenn der Steuerpflichtige im betreffenden Jahr bestimmte </w:t>
      </w:r>
      <w:r w:rsidR="00B91056" w:rsidRPr="00D101C1">
        <w:rPr>
          <w:rFonts w:cs="Arial"/>
          <w:b/>
        </w:rPr>
        <w:t>Investitionen</w:t>
      </w:r>
      <w:r w:rsidR="00B91056" w:rsidRPr="00D101C1">
        <w:rPr>
          <w:rFonts w:cs="Arial"/>
        </w:rPr>
        <w:t xml:space="preserve"> getätigt hat. Als </w:t>
      </w:r>
      <w:r w:rsidR="005B6A6A" w:rsidRPr="00D101C1">
        <w:rPr>
          <w:rFonts w:cs="Arial"/>
        </w:rPr>
        <w:t xml:space="preserve">begünstigte </w:t>
      </w:r>
      <w:r w:rsidR="00B91056" w:rsidRPr="00D101C1">
        <w:rPr>
          <w:rFonts w:cs="Arial"/>
        </w:rPr>
        <w:t xml:space="preserve">Investitionen kommen </w:t>
      </w:r>
      <w:r w:rsidR="00B91056" w:rsidRPr="00D101C1">
        <w:rPr>
          <w:rFonts w:cs="Arial"/>
          <w:b/>
        </w:rPr>
        <w:t>unge</w:t>
      </w:r>
      <w:r w:rsidR="00F46E12" w:rsidRPr="00D101C1">
        <w:rPr>
          <w:rFonts w:cs="Arial"/>
          <w:b/>
        </w:rPr>
        <w:softHyphen/>
      </w:r>
      <w:r w:rsidR="00B91056" w:rsidRPr="00D101C1">
        <w:rPr>
          <w:rFonts w:cs="Arial"/>
          <w:b/>
        </w:rPr>
        <w:t>brauchte, abnutzbare körperliche Wirtschaftsgüter</w:t>
      </w:r>
      <w:r w:rsidR="000F260F" w:rsidRPr="00D101C1">
        <w:rPr>
          <w:rFonts w:cs="Arial"/>
        </w:rPr>
        <w:t xml:space="preserve"> </w:t>
      </w:r>
      <w:r w:rsidR="00B91056" w:rsidRPr="00D101C1">
        <w:rPr>
          <w:rFonts w:cs="Arial"/>
        </w:rPr>
        <w:t>mit einer Nutzungsdauer von mindestens</w:t>
      </w:r>
      <w:r w:rsidR="000F260F" w:rsidRPr="00D101C1">
        <w:rPr>
          <w:rFonts w:cs="Arial"/>
        </w:rPr>
        <w:t xml:space="preserve"> </w:t>
      </w:r>
      <w:r w:rsidR="001B4C5D" w:rsidRPr="001B4C5D">
        <w:rPr>
          <w:rFonts w:cs="Arial"/>
          <w:color w:val="5F497A" w:themeColor="accent4" w:themeShade="BF"/>
        </w:rPr>
        <w:t>vier</w:t>
      </w:r>
      <w:r w:rsidR="00B91056" w:rsidRPr="001B4C5D">
        <w:rPr>
          <w:rFonts w:cs="Arial"/>
          <w:color w:val="5F497A" w:themeColor="accent4" w:themeShade="BF"/>
        </w:rPr>
        <w:t xml:space="preserve"> </w:t>
      </w:r>
      <w:r w:rsidR="00B91056" w:rsidRPr="00D101C1">
        <w:rPr>
          <w:rFonts w:cs="Arial"/>
        </w:rPr>
        <w:t xml:space="preserve">Jahren </w:t>
      </w:r>
      <w:r w:rsidR="005B6A6A" w:rsidRPr="00D101C1">
        <w:rPr>
          <w:rFonts w:cs="Arial"/>
        </w:rPr>
        <w:t>in Betracht, wie</w:t>
      </w:r>
      <w:r w:rsidR="00B91056" w:rsidRPr="00D101C1">
        <w:rPr>
          <w:rFonts w:cs="Arial"/>
        </w:rPr>
        <w:t xml:space="preserve"> </w:t>
      </w:r>
      <w:r w:rsidR="005B6A6A" w:rsidRPr="00D101C1">
        <w:rPr>
          <w:rFonts w:cs="Arial"/>
        </w:rPr>
        <w:t xml:space="preserve">beispielsweise </w:t>
      </w:r>
      <w:r w:rsidR="00B91056" w:rsidRPr="00D101C1">
        <w:rPr>
          <w:rFonts w:cs="Arial"/>
        </w:rPr>
        <w:t>Maschinen, Betriebs- und Ges</w:t>
      </w:r>
      <w:r w:rsidR="005B6A6A" w:rsidRPr="00D101C1">
        <w:rPr>
          <w:rFonts w:cs="Arial"/>
        </w:rPr>
        <w:t xml:space="preserve">chäftsausstattung, LKW, Hardware und </w:t>
      </w:r>
      <w:r w:rsidR="00B91056" w:rsidRPr="00D101C1">
        <w:rPr>
          <w:rFonts w:cs="Arial"/>
        </w:rPr>
        <w:t>Gebäudeinvestitionen</w:t>
      </w:r>
      <w:r w:rsidR="005B6A6A" w:rsidRPr="00D101C1">
        <w:rPr>
          <w:rFonts w:cs="Arial"/>
        </w:rPr>
        <w:t xml:space="preserve"> ab Fertigstellung. Ausgeschlossen sind PKW, Software und gebrauchte Wirtschaftsgüter.</w:t>
      </w:r>
      <w:r w:rsidR="00B91056" w:rsidRPr="00D101C1">
        <w:rPr>
          <w:rFonts w:cs="Arial"/>
        </w:rPr>
        <w:t xml:space="preserve"> </w:t>
      </w:r>
      <w:r w:rsidR="005B6A6A" w:rsidRPr="00D101C1">
        <w:rPr>
          <w:rFonts w:cs="Arial"/>
        </w:rPr>
        <w:t>Auch b</w:t>
      </w:r>
      <w:r w:rsidR="00B91056" w:rsidRPr="00D101C1">
        <w:rPr>
          <w:rFonts w:cs="Arial"/>
        </w:rPr>
        <w:t xml:space="preserve">estimmte </w:t>
      </w:r>
      <w:r w:rsidR="00226667" w:rsidRPr="00D101C1">
        <w:rPr>
          <w:rFonts w:cs="Arial"/>
          <w:b/>
        </w:rPr>
        <w:t xml:space="preserve">Wertpapiere </w:t>
      </w:r>
      <w:r w:rsidR="00226667" w:rsidRPr="00D101C1">
        <w:rPr>
          <w:rFonts w:cs="Arial"/>
        </w:rPr>
        <w:t>können für die Geltendmachung eines investitionsbedingten GFB herangezogen</w:t>
      </w:r>
      <w:r w:rsidR="00C9224B" w:rsidRPr="00D101C1">
        <w:rPr>
          <w:rFonts w:cs="Arial"/>
        </w:rPr>
        <w:t xml:space="preserve"> werden</w:t>
      </w:r>
      <w:r w:rsidR="00226667" w:rsidRPr="00D101C1">
        <w:rPr>
          <w:rFonts w:cs="Arial"/>
        </w:rPr>
        <w:t>. Das</w:t>
      </w:r>
      <w:r w:rsidR="005B6A6A" w:rsidRPr="00D101C1">
        <w:rPr>
          <w:rFonts w:cs="Arial"/>
        </w:rPr>
        <w:t xml:space="preserve"> sind </w:t>
      </w:r>
      <w:r w:rsidR="000A63D1" w:rsidRPr="00D101C1">
        <w:rPr>
          <w:rFonts w:cs="Arial"/>
          <w:b/>
        </w:rPr>
        <w:t>alle Anleihen sowie Anleihen- und Immobilienfonds</w:t>
      </w:r>
      <w:r w:rsidR="000A63D1" w:rsidRPr="00D101C1">
        <w:rPr>
          <w:rFonts w:cs="Arial"/>
        </w:rPr>
        <w:t xml:space="preserve">, welche als Deckungswertpapiere für die Pensionsrückstellung </w:t>
      </w:r>
      <w:r w:rsidR="00AF259B" w:rsidRPr="00D101C1">
        <w:rPr>
          <w:rFonts w:cs="Arial"/>
        </w:rPr>
        <w:t>zugelassen sind.</w:t>
      </w:r>
    </w:p>
    <w:p w:rsidR="00B91056" w:rsidRPr="00D101C1" w:rsidRDefault="00B91056" w:rsidP="00B952A7">
      <w:pPr>
        <w:spacing w:line="276" w:lineRule="auto"/>
        <w:jc w:val="both"/>
        <w:rPr>
          <w:rFonts w:cs="Arial"/>
          <w:b/>
        </w:rPr>
      </w:pPr>
    </w:p>
    <w:bookmarkEnd w:id="49"/>
    <w:bookmarkEnd w:id="50"/>
    <w:bookmarkEnd w:id="51"/>
    <w:bookmarkEnd w:id="52"/>
    <w:bookmarkEnd w:id="53"/>
    <w:bookmarkEnd w:id="54"/>
    <w:p w:rsidR="00B91056" w:rsidRPr="00D101C1" w:rsidRDefault="00B91056" w:rsidP="00B952A7">
      <w:pPr>
        <w:spacing w:line="276" w:lineRule="auto"/>
        <w:jc w:val="both"/>
        <w:rPr>
          <w:rFonts w:cs="Arial"/>
        </w:rPr>
      </w:pPr>
      <w:r w:rsidRPr="00D101C1">
        <w:rPr>
          <w:rFonts w:cs="Arial"/>
        </w:rPr>
        <w:t xml:space="preserve">Diese Wertpapiere müssen ab dem Anschaffungszeitpunkt mindestens </w:t>
      </w:r>
      <w:r w:rsidR="001B4C5D" w:rsidRPr="001B4C5D">
        <w:rPr>
          <w:rFonts w:cs="Arial"/>
          <w:color w:val="5F497A" w:themeColor="accent4" w:themeShade="BF"/>
        </w:rPr>
        <w:t>vier</w:t>
      </w:r>
      <w:r w:rsidR="00EC66B7" w:rsidRPr="001B4C5D">
        <w:rPr>
          <w:rFonts w:cs="Arial"/>
          <w:color w:val="5F497A" w:themeColor="accent4" w:themeShade="BF"/>
        </w:rPr>
        <w:t xml:space="preserve"> </w:t>
      </w:r>
      <w:r w:rsidR="00EC66B7" w:rsidRPr="00D101C1">
        <w:rPr>
          <w:rFonts w:cs="Arial"/>
        </w:rPr>
        <w:t xml:space="preserve">Jahre </w:t>
      </w:r>
      <w:r w:rsidRPr="00D101C1">
        <w:rPr>
          <w:rFonts w:cs="Arial"/>
        </w:rPr>
        <w:t>als Anlage</w:t>
      </w:r>
      <w:r w:rsidR="00F46E12" w:rsidRPr="00D101C1">
        <w:rPr>
          <w:rFonts w:cs="Arial"/>
        </w:rPr>
        <w:softHyphen/>
      </w:r>
      <w:r w:rsidRPr="00D101C1">
        <w:rPr>
          <w:rFonts w:cs="Arial"/>
        </w:rPr>
        <w:t xml:space="preserve">vermögen gewidmet werden. Am </w:t>
      </w:r>
      <w:r w:rsidR="0032275A">
        <w:rPr>
          <w:rFonts w:cs="Arial"/>
        </w:rPr>
        <w:t>e</w:t>
      </w:r>
      <w:r w:rsidRPr="00D101C1">
        <w:rPr>
          <w:rFonts w:cs="Arial"/>
        </w:rPr>
        <w:t>infachsten ist es nach wie vor, die für den investitionsbedingten GFB erforderliche Investitionsdeckung bei Gewinnen über € 30.000 durch den Kauf der begünstigten</w:t>
      </w:r>
      <w:r w:rsidRPr="00D101C1">
        <w:rPr>
          <w:rFonts w:cs="Arial"/>
          <w:b/>
        </w:rPr>
        <w:t xml:space="preserve"> Wertpapiere</w:t>
      </w:r>
      <w:r w:rsidRPr="00D101C1">
        <w:rPr>
          <w:rFonts w:cs="Arial"/>
        </w:rPr>
        <w:t xml:space="preserve"> zu erfüllen. Für den GFB angeschaffte Wertpapiere können jederzeit verpfändet werden. Um den GFB optimal zu nutzen, sollte etwa bis Mitte Dezember gemeinsam mit dem Steuerberater der erwartete steuerliche Jahresgewinn </w:t>
      </w:r>
      <w:r w:rsidR="00E97FF2" w:rsidRPr="00D101C1">
        <w:rPr>
          <w:rFonts w:cs="Arial"/>
        </w:rPr>
        <w:t>20</w:t>
      </w:r>
      <w:r w:rsidR="00B53586">
        <w:rPr>
          <w:rFonts w:cs="Arial"/>
        </w:rPr>
        <w:t>2</w:t>
      </w:r>
      <w:r w:rsidR="00233492">
        <w:rPr>
          <w:rFonts w:cs="Arial"/>
        </w:rPr>
        <w:t>2</w:t>
      </w:r>
      <w:r w:rsidRPr="00D101C1">
        <w:rPr>
          <w:rFonts w:cs="Arial"/>
        </w:rPr>
        <w:t xml:space="preserve"> geschätzt und der voraussichtlich über €</w:t>
      </w:r>
      <w:r w:rsidR="000A63D1" w:rsidRPr="00D101C1">
        <w:rPr>
          <w:rFonts w:cs="Arial"/>
        </w:rPr>
        <w:t> </w:t>
      </w:r>
      <w:r w:rsidR="00233492">
        <w:rPr>
          <w:rFonts w:cs="Arial"/>
        </w:rPr>
        <w:t>4</w:t>
      </w:r>
      <w:r w:rsidRPr="00D101C1">
        <w:rPr>
          <w:rFonts w:cs="Arial"/>
        </w:rPr>
        <w:t>.</w:t>
      </w:r>
      <w:r w:rsidR="00233492">
        <w:rPr>
          <w:rFonts w:cs="Arial"/>
        </w:rPr>
        <w:t>5</w:t>
      </w:r>
      <w:r w:rsidRPr="00D101C1">
        <w:rPr>
          <w:rFonts w:cs="Arial"/>
        </w:rPr>
        <w:t>00 (= Grundfreibetrag!) liegende Gewinnfreibetrag nach den oben dargestellten Stufen ermittelt und</w:t>
      </w:r>
      <w:r w:rsidR="001B4C5D">
        <w:rPr>
          <w:rFonts w:cs="Arial"/>
        </w:rPr>
        <w:t xml:space="preserve"> </w:t>
      </w:r>
      <w:r w:rsidR="001B4C5D" w:rsidRPr="001B4C5D">
        <w:rPr>
          <w:rFonts w:cs="Arial"/>
          <w:color w:val="5F497A" w:themeColor="accent4" w:themeShade="BF"/>
        </w:rPr>
        <w:t>in</w:t>
      </w:r>
      <w:r w:rsidRPr="001B4C5D">
        <w:rPr>
          <w:rFonts w:cs="Arial"/>
          <w:color w:val="5F497A" w:themeColor="accent4" w:themeShade="BF"/>
        </w:rPr>
        <w:t xml:space="preserve"> </w:t>
      </w:r>
      <w:r w:rsidRPr="00D101C1">
        <w:rPr>
          <w:rFonts w:cs="Arial"/>
        </w:rPr>
        <w:t>entsprechende</w:t>
      </w:r>
      <w:r w:rsidR="001B4C5D">
        <w:rPr>
          <w:rFonts w:cs="Arial"/>
        </w:rPr>
        <w:t xml:space="preserve">r </w:t>
      </w:r>
      <w:r w:rsidR="001B4C5D" w:rsidRPr="001B4C5D">
        <w:rPr>
          <w:rFonts w:cs="Arial"/>
          <w:color w:val="5F497A" w:themeColor="accent4" w:themeShade="BF"/>
        </w:rPr>
        <w:t>Höhe</w:t>
      </w:r>
      <w:r w:rsidRPr="001B4C5D">
        <w:rPr>
          <w:rFonts w:cs="Arial"/>
          <w:color w:val="5F497A" w:themeColor="accent4" w:themeShade="BF"/>
        </w:rPr>
        <w:t xml:space="preserve"> </w:t>
      </w:r>
      <w:r w:rsidRPr="00D101C1">
        <w:rPr>
          <w:rFonts w:cs="Arial"/>
          <w:b/>
        </w:rPr>
        <w:t>Wertpapiere gekauft</w:t>
      </w:r>
      <w:r w:rsidRPr="00D101C1">
        <w:rPr>
          <w:rFonts w:cs="Arial"/>
        </w:rPr>
        <w:t xml:space="preserve"> werden. </w:t>
      </w:r>
      <w:r w:rsidR="00136167" w:rsidRPr="00D101C1">
        <w:rPr>
          <w:rFonts w:cs="Arial"/>
        </w:rPr>
        <w:t xml:space="preserve">Die Wertpapiere müssen </w:t>
      </w:r>
      <w:r w:rsidR="00136167" w:rsidRPr="00D101C1">
        <w:rPr>
          <w:rFonts w:cs="Arial"/>
          <w:b/>
        </w:rPr>
        <w:t>bis zum 31.12.20</w:t>
      </w:r>
      <w:r w:rsidR="00B53586">
        <w:rPr>
          <w:rFonts w:cs="Arial"/>
          <w:b/>
        </w:rPr>
        <w:t>2</w:t>
      </w:r>
      <w:r w:rsidR="00233492">
        <w:rPr>
          <w:rFonts w:cs="Arial"/>
          <w:b/>
        </w:rPr>
        <w:t>2</w:t>
      </w:r>
      <w:r w:rsidR="00136167" w:rsidRPr="00D101C1">
        <w:rPr>
          <w:rFonts w:cs="Arial"/>
          <w:b/>
        </w:rPr>
        <w:t xml:space="preserve"> auf Ihrem Depot</w:t>
      </w:r>
      <w:r w:rsidR="00136167" w:rsidRPr="00D101C1">
        <w:rPr>
          <w:rFonts w:cs="Arial"/>
        </w:rPr>
        <w:t xml:space="preserve"> </w:t>
      </w:r>
      <w:r w:rsidR="00AA1E93">
        <w:rPr>
          <w:rFonts w:cs="Arial"/>
        </w:rPr>
        <w:t>eingeliefert sein</w:t>
      </w:r>
      <w:r w:rsidR="00136167" w:rsidRPr="00D101C1">
        <w:rPr>
          <w:rFonts w:cs="Arial"/>
        </w:rPr>
        <w:t>!</w:t>
      </w:r>
    </w:p>
    <w:p w:rsidR="00226667" w:rsidRPr="00D101C1" w:rsidRDefault="00226667" w:rsidP="00B952A7">
      <w:pPr>
        <w:spacing w:line="276" w:lineRule="auto"/>
        <w:jc w:val="both"/>
        <w:rPr>
          <w:rFonts w:cs="Arial"/>
        </w:rPr>
      </w:pPr>
    </w:p>
    <w:p w:rsidR="00034ADC" w:rsidRPr="00D101C1" w:rsidRDefault="00034ADC" w:rsidP="00233F3F">
      <w:pPr>
        <w:shd w:val="clear" w:color="auto" w:fill="FBD4B4" w:themeFill="accent6" w:themeFillTint="66"/>
        <w:spacing w:line="276" w:lineRule="auto"/>
        <w:jc w:val="both"/>
        <w:rPr>
          <w:rFonts w:cs="Arial"/>
        </w:rPr>
      </w:pPr>
      <w:r w:rsidRPr="00D101C1">
        <w:rPr>
          <w:rFonts w:cs="Arial"/>
          <w:b/>
        </w:rPr>
        <w:t>TIPP:</w:t>
      </w:r>
      <w:r w:rsidRPr="00D101C1">
        <w:rPr>
          <w:rFonts w:cs="Arial"/>
        </w:rPr>
        <w:t xml:space="preserve"> Auch für </w:t>
      </w:r>
      <w:r w:rsidRPr="00D101C1">
        <w:rPr>
          <w:rFonts w:cs="Arial"/>
          <w:b/>
        </w:rPr>
        <w:t>selbständige Nebeneinkünfte</w:t>
      </w:r>
      <w:r w:rsidRPr="00D101C1">
        <w:rPr>
          <w:rFonts w:cs="Arial"/>
        </w:rPr>
        <w:t xml:space="preserve"> (zB aus einem Werk- oder freien Dienstvertrag), Bezüge eines </w:t>
      </w:r>
      <w:r w:rsidRPr="00D101C1">
        <w:rPr>
          <w:rFonts w:cs="Arial"/>
          <w:b/>
        </w:rPr>
        <w:t>selbständig tätigen Gesellschafter-Geschäftsführers</w:t>
      </w:r>
      <w:r w:rsidRPr="00D101C1">
        <w:rPr>
          <w:rFonts w:cs="Arial"/>
        </w:rPr>
        <w:t xml:space="preserve"> oder </w:t>
      </w:r>
      <w:r w:rsidRPr="00D101C1">
        <w:rPr>
          <w:rFonts w:cs="Arial"/>
          <w:b/>
        </w:rPr>
        <w:t>Aufsichtsrats- und Stiftungs</w:t>
      </w:r>
      <w:r w:rsidR="00137F05">
        <w:rPr>
          <w:rFonts w:cs="Arial"/>
          <w:b/>
        </w:rPr>
        <w:softHyphen/>
      </w:r>
      <w:r w:rsidRPr="00D101C1">
        <w:rPr>
          <w:rFonts w:cs="Arial"/>
          <w:b/>
        </w:rPr>
        <w:t>vorstandsvergütungen</w:t>
      </w:r>
      <w:r w:rsidRPr="00D101C1">
        <w:rPr>
          <w:rFonts w:cs="Arial"/>
        </w:rPr>
        <w:t xml:space="preserve"> steht der GFB zu.</w:t>
      </w:r>
    </w:p>
    <w:p w:rsidR="00034ADC" w:rsidRPr="00D101C1" w:rsidRDefault="004239D9" w:rsidP="00233F3F">
      <w:pPr>
        <w:shd w:val="clear" w:color="auto" w:fill="FBD4B4" w:themeFill="accent6" w:themeFillTint="66"/>
        <w:spacing w:line="276" w:lineRule="auto"/>
        <w:jc w:val="both"/>
        <w:rPr>
          <w:rFonts w:cs="Arial"/>
        </w:rPr>
      </w:pPr>
      <w:r w:rsidRPr="00D101C1">
        <w:rPr>
          <w:rFonts w:cs="Arial"/>
          <w:b/>
        </w:rPr>
        <w:t>Hinweis</w:t>
      </w:r>
      <w:r w:rsidRPr="00D101C1">
        <w:rPr>
          <w:rFonts w:cs="Arial"/>
          <w:bCs/>
        </w:rPr>
        <w:t>:</w:t>
      </w:r>
      <w:r w:rsidR="00034ADC" w:rsidRPr="00D101C1">
        <w:rPr>
          <w:rFonts w:cs="Arial"/>
        </w:rPr>
        <w:t xml:space="preserve"> Bei Inanspruchnahme einer </w:t>
      </w:r>
      <w:r w:rsidR="00034ADC" w:rsidRPr="00D101C1">
        <w:rPr>
          <w:rFonts w:cs="Arial"/>
          <w:b/>
        </w:rPr>
        <w:t>Betriebsausgabenpauschalierung</w:t>
      </w:r>
      <w:r w:rsidR="00034ADC" w:rsidRPr="00D101C1">
        <w:rPr>
          <w:rFonts w:cs="Arial"/>
        </w:rPr>
        <w:t xml:space="preserve"> steht </w:t>
      </w:r>
      <w:r w:rsidR="00034ADC" w:rsidRPr="00D101C1">
        <w:rPr>
          <w:rFonts w:cs="Arial"/>
          <w:b/>
        </w:rPr>
        <w:t>nur der Grundfrei</w:t>
      </w:r>
      <w:r w:rsidR="00137F05">
        <w:rPr>
          <w:rFonts w:cs="Arial"/>
          <w:b/>
        </w:rPr>
        <w:softHyphen/>
      </w:r>
      <w:r w:rsidR="00034ADC" w:rsidRPr="00D101C1">
        <w:rPr>
          <w:rFonts w:cs="Arial"/>
          <w:b/>
        </w:rPr>
        <w:t>betrag</w:t>
      </w:r>
      <w:r w:rsidR="00034ADC" w:rsidRPr="00D101C1">
        <w:rPr>
          <w:rFonts w:cs="Arial"/>
        </w:rPr>
        <w:t xml:space="preserve"> (1</w:t>
      </w:r>
      <w:r w:rsidR="00233492">
        <w:rPr>
          <w:rFonts w:cs="Arial"/>
        </w:rPr>
        <w:t>5</w:t>
      </w:r>
      <w:r w:rsidR="00034ADC" w:rsidRPr="00D101C1">
        <w:rPr>
          <w:rFonts w:cs="Arial"/>
        </w:rPr>
        <w:t xml:space="preserve">% von € 30.000 = € </w:t>
      </w:r>
      <w:r w:rsidR="00233492">
        <w:rPr>
          <w:rFonts w:cs="Arial"/>
        </w:rPr>
        <w:t>4</w:t>
      </w:r>
      <w:r w:rsidR="00034ADC" w:rsidRPr="00D101C1">
        <w:rPr>
          <w:rFonts w:cs="Arial"/>
        </w:rPr>
        <w:t>.</w:t>
      </w:r>
      <w:r w:rsidR="00233492">
        <w:rPr>
          <w:rFonts w:cs="Arial"/>
        </w:rPr>
        <w:t>5</w:t>
      </w:r>
      <w:r w:rsidR="00034ADC" w:rsidRPr="00D101C1">
        <w:rPr>
          <w:rFonts w:cs="Arial"/>
        </w:rPr>
        <w:t>00) zu.</w:t>
      </w:r>
    </w:p>
    <w:p w:rsidR="00B91056" w:rsidRDefault="00B91056" w:rsidP="00B952A7">
      <w:pPr>
        <w:spacing w:line="276" w:lineRule="auto"/>
        <w:jc w:val="both"/>
        <w:rPr>
          <w:rFonts w:cs="Arial"/>
        </w:rPr>
      </w:pPr>
    </w:p>
    <w:p w:rsidR="00E91D18" w:rsidRPr="00233F3F" w:rsidRDefault="00E91D18" w:rsidP="00233F3F">
      <w:pPr>
        <w:shd w:val="clear" w:color="auto" w:fill="C6D9F1" w:themeFill="text2" w:themeFillTint="33"/>
        <w:tabs>
          <w:tab w:val="left" w:pos="9072"/>
        </w:tabs>
        <w:spacing w:line="276" w:lineRule="auto"/>
        <w:jc w:val="both"/>
        <w:rPr>
          <w:rFonts w:cs="Arial"/>
        </w:rPr>
      </w:pPr>
      <w:r w:rsidRPr="00233F3F">
        <w:rPr>
          <w:rFonts w:cs="Arial"/>
          <w:b/>
          <w:bCs/>
        </w:rPr>
        <w:t>Beachten</w:t>
      </w:r>
      <w:r w:rsidRPr="00233F3F">
        <w:rPr>
          <w:rFonts w:cs="Arial"/>
        </w:rPr>
        <w:t xml:space="preserve"> </w:t>
      </w:r>
      <w:r w:rsidR="002F70AC" w:rsidRPr="00233F3F">
        <w:rPr>
          <w:rFonts w:cs="Arial"/>
        </w:rPr>
        <w:t>S</w:t>
      </w:r>
      <w:r w:rsidRPr="00233F3F">
        <w:rPr>
          <w:rFonts w:cs="Arial"/>
        </w:rPr>
        <w:t>ie, das</w:t>
      </w:r>
      <w:r w:rsidR="00AD4E82" w:rsidRPr="00233F3F">
        <w:rPr>
          <w:rFonts w:cs="Arial"/>
        </w:rPr>
        <w:t>s</w:t>
      </w:r>
      <w:r w:rsidRPr="00233F3F">
        <w:rPr>
          <w:rFonts w:cs="Arial"/>
        </w:rPr>
        <w:t xml:space="preserve"> bei einer Betriebsveräußerung oder Betriebsau</w:t>
      </w:r>
      <w:r w:rsidR="007F47CA" w:rsidRPr="00233F3F">
        <w:rPr>
          <w:rFonts w:cs="Arial"/>
        </w:rPr>
        <w:t>f</w:t>
      </w:r>
      <w:r w:rsidRPr="00233F3F">
        <w:rPr>
          <w:rFonts w:cs="Arial"/>
        </w:rPr>
        <w:t xml:space="preserve">gabe der </w:t>
      </w:r>
      <w:r w:rsidRPr="00233F3F">
        <w:rPr>
          <w:rFonts w:cs="Arial"/>
          <w:b/>
          <w:bCs/>
        </w:rPr>
        <w:t>GFB nachversteuert</w:t>
      </w:r>
      <w:r w:rsidRPr="00233F3F">
        <w:rPr>
          <w:rFonts w:cs="Arial"/>
        </w:rPr>
        <w:t xml:space="preserve"> werden muss, sofern die Mindestbehaltedauer von 4 Jahren nicht erfüllt ist.</w:t>
      </w:r>
      <w:r w:rsidR="007F47CA" w:rsidRPr="00233F3F">
        <w:rPr>
          <w:rFonts w:cs="Arial"/>
        </w:rPr>
        <w:t xml:space="preserve"> Bei einer Betriebsaufgabe auf Grund von höherer Gewalt (zB Tod des Steuerpflichtigen ohne Übergang</w:t>
      </w:r>
      <w:r w:rsidR="00306531" w:rsidRPr="00233F3F">
        <w:rPr>
          <w:rFonts w:cs="Arial"/>
        </w:rPr>
        <w:t xml:space="preserve"> bzw Fortführung</w:t>
      </w:r>
      <w:r w:rsidR="007F47CA" w:rsidRPr="00233F3F">
        <w:rPr>
          <w:rFonts w:cs="Arial"/>
        </w:rPr>
        <w:t xml:space="preserve"> des Betriebs im Rahmen der Erbfolge) oder infolge behördlichen Eingriffs unterbleibt eine Nachversteuerung.</w:t>
      </w:r>
    </w:p>
    <w:p w:rsidR="00E91D18" w:rsidRDefault="00E91D18" w:rsidP="00B952A7">
      <w:pPr>
        <w:spacing w:line="276" w:lineRule="auto"/>
        <w:jc w:val="both"/>
        <w:rPr>
          <w:rFonts w:cs="Arial"/>
          <w:color w:val="548DD4" w:themeColor="text2" w:themeTint="99"/>
        </w:rPr>
      </w:pPr>
    </w:p>
    <w:p w:rsidR="00ED7460" w:rsidRDefault="00ED7460" w:rsidP="00ED7460">
      <w:pPr>
        <w:pStyle w:val="berschrift2"/>
        <w:numPr>
          <w:ilvl w:val="0"/>
          <w:numId w:val="0"/>
        </w:numPr>
      </w:pPr>
      <w:bookmarkStart w:id="55" w:name="_Toc116494060"/>
      <w:bookmarkStart w:id="56" w:name="_Toc116923136"/>
      <w:r>
        <w:t>4.2</w:t>
      </w:r>
      <w:r w:rsidRPr="00ED7460">
        <w:t xml:space="preserve"> Investitionsfreibetrag</w:t>
      </w:r>
      <w:bookmarkEnd w:id="55"/>
      <w:bookmarkEnd w:id="56"/>
      <w:r w:rsidRPr="00ED7460">
        <w:t xml:space="preserve"> </w:t>
      </w:r>
    </w:p>
    <w:p w:rsidR="00ED7460" w:rsidRPr="007320CC" w:rsidRDefault="00AD3315" w:rsidP="00ED7460">
      <w:pPr>
        <w:jc w:val="both"/>
      </w:pPr>
      <w:r w:rsidRPr="007320CC">
        <w:t>Für</w:t>
      </w:r>
      <w:r w:rsidR="00ED7460" w:rsidRPr="007320CC">
        <w:t xml:space="preserve"> </w:t>
      </w:r>
      <w:r w:rsidRPr="007320CC">
        <w:t xml:space="preserve">nach </w:t>
      </w:r>
      <w:r w:rsidR="00ED7460" w:rsidRPr="007320CC">
        <w:t xml:space="preserve">dem 31.12.2022 </w:t>
      </w:r>
      <w:r w:rsidR="00AE02D3" w:rsidRPr="007320CC">
        <w:t xml:space="preserve">angeschaffte </w:t>
      </w:r>
      <w:r w:rsidR="00766148" w:rsidRPr="007320CC">
        <w:t xml:space="preserve">oder hergestellte Anlagegüter kann </w:t>
      </w:r>
      <w:r w:rsidR="00E30D49" w:rsidRPr="007320CC">
        <w:t>ein</w:t>
      </w:r>
      <w:r w:rsidR="00ED7460" w:rsidRPr="007320CC">
        <w:t xml:space="preserve"> </w:t>
      </w:r>
      <w:r w:rsidR="00ED7460" w:rsidRPr="007320CC">
        <w:rPr>
          <w:b/>
          <w:bCs/>
        </w:rPr>
        <w:t>Investitionsfreibetrag</w:t>
      </w:r>
      <w:r w:rsidR="00ED7460" w:rsidRPr="007320CC">
        <w:t xml:space="preserve"> </w:t>
      </w:r>
      <w:r w:rsidR="00EF5DED" w:rsidRPr="007320CC">
        <w:rPr>
          <w:b/>
          <w:bCs/>
        </w:rPr>
        <w:t>(IFB)</w:t>
      </w:r>
      <w:r w:rsidR="00766148" w:rsidRPr="007320CC">
        <w:rPr>
          <w:b/>
          <w:bCs/>
        </w:rPr>
        <w:t xml:space="preserve"> geltend gemacht werden</w:t>
      </w:r>
      <w:r w:rsidR="00ED7460" w:rsidRPr="007320CC">
        <w:t xml:space="preserve"> </w:t>
      </w:r>
      <w:r w:rsidR="00766148" w:rsidRPr="007320CC">
        <w:t xml:space="preserve">Daher </w:t>
      </w:r>
      <w:r w:rsidR="00EE4F1D">
        <w:t xml:space="preserve">gilt es </w:t>
      </w:r>
      <w:r w:rsidR="00766148" w:rsidRPr="007320CC">
        <w:t xml:space="preserve">bei </w:t>
      </w:r>
      <w:r w:rsidR="007A7F65">
        <w:t xml:space="preserve">Investitionen </w:t>
      </w:r>
      <w:r w:rsidR="00A24B75">
        <w:t xml:space="preserve">rund </w:t>
      </w:r>
      <w:r w:rsidR="00766148" w:rsidRPr="007320CC">
        <w:t xml:space="preserve">um den Jahreswechsel sehr genau zu prüfen, zu welchem Zeitpunkt die Investition am günstigsten ist. </w:t>
      </w:r>
    </w:p>
    <w:p w:rsidR="00ED7460" w:rsidRDefault="00ED7460" w:rsidP="00ED7460">
      <w:pPr>
        <w:jc w:val="both"/>
      </w:pPr>
    </w:p>
    <w:p w:rsidR="007320CC" w:rsidRDefault="00ED7460" w:rsidP="007320CC">
      <w:pPr>
        <w:spacing w:line="276" w:lineRule="auto"/>
        <w:jc w:val="both"/>
      </w:pPr>
      <w:r>
        <w:t xml:space="preserve">Der Investitionsfreibetrag führt zu einer </w:t>
      </w:r>
      <w:r w:rsidRPr="00E30D49">
        <w:rPr>
          <w:b/>
        </w:rPr>
        <w:t xml:space="preserve">zusätzlichen Abschreibung </w:t>
      </w:r>
      <w:r w:rsidR="00E30D49">
        <w:rPr>
          <w:b/>
        </w:rPr>
        <w:t>von</w:t>
      </w:r>
      <w:r w:rsidRPr="00E30D49">
        <w:rPr>
          <w:b/>
        </w:rPr>
        <w:t xml:space="preserve"> 10%</w:t>
      </w:r>
      <w:r>
        <w:t xml:space="preserve"> (bei </w:t>
      </w:r>
      <w:r w:rsidRPr="00E30D49">
        <w:rPr>
          <w:b/>
        </w:rPr>
        <w:t>klimafreundlichen Investitionen 15%</w:t>
      </w:r>
      <w:r w:rsidRPr="00E30D49">
        <w:t>) der Anschaffungskosten der Anlagegüter</w:t>
      </w:r>
      <w:r w:rsidR="00353828" w:rsidRPr="00E30D49">
        <w:t xml:space="preserve"> (</w:t>
      </w:r>
      <w:r w:rsidR="00766148">
        <w:t xml:space="preserve">für </w:t>
      </w:r>
      <w:r w:rsidR="00353828" w:rsidRPr="00E30D49">
        <w:t>maximal € 1 Mio A</w:t>
      </w:r>
      <w:r w:rsidR="00353828">
        <w:t>nschaffungskosten</w:t>
      </w:r>
      <w:r w:rsidR="00766148">
        <w:t xml:space="preserve"> pa</w:t>
      </w:r>
      <w:r w:rsidR="00353828">
        <w:t>)</w:t>
      </w:r>
      <w:r>
        <w:t xml:space="preserve">. </w:t>
      </w:r>
      <w:r w:rsidR="00766148">
        <w:rPr>
          <w:rFonts w:ascii="proxima-nova" w:hAnsi="proxima-nova" w:cs="Arial"/>
          <w:color w:val="333333"/>
          <w:sz w:val="21"/>
          <w:szCs w:val="21"/>
        </w:rPr>
        <w:t xml:space="preserve">Voraussetzung für die Geltendmachung des Investitionsfreibetrags ist, dass die entsprechenden Wirtschaftsgüter eine betriebsgewöhnliche Nutzungsdauer von mindestens vier Jahren haben und einem inländischen Betrieb bzw. einer inländischen Betriebsstätte zuzuordnen sind. </w:t>
      </w:r>
      <w:r w:rsidR="00EF5DED" w:rsidRPr="00EF5DED">
        <w:rPr>
          <w:b/>
          <w:bCs/>
        </w:rPr>
        <w:t>Ausgenommen vom Investitionsfreibetrag</w:t>
      </w:r>
      <w:r w:rsidR="00EF5DED">
        <w:t xml:space="preserve"> sind </w:t>
      </w:r>
      <w:r>
        <w:t>folgende Wirtschaftsgüter</w:t>
      </w:r>
      <w:r w:rsidR="00EF5DED">
        <w:t>:</w:t>
      </w:r>
      <w:r>
        <w:t xml:space="preserve"> </w:t>
      </w:r>
    </w:p>
    <w:p w:rsidR="00ED7460" w:rsidRPr="00EF5DED" w:rsidRDefault="00084CA0" w:rsidP="005349C1">
      <w:pPr>
        <w:pStyle w:val="Listenabsatz"/>
        <w:numPr>
          <w:ilvl w:val="0"/>
          <w:numId w:val="20"/>
        </w:numPr>
        <w:spacing w:line="276" w:lineRule="auto"/>
        <w:jc w:val="both"/>
      </w:pPr>
      <w:r w:rsidRPr="00EF5DED">
        <w:t xml:space="preserve">Wirtschaftsgüter, für die der </w:t>
      </w:r>
      <w:r w:rsidRPr="007320CC">
        <w:rPr>
          <w:b/>
          <w:bCs/>
        </w:rPr>
        <w:t>investitionsbedingte Gewinnfreibetrag</w:t>
      </w:r>
      <w:r w:rsidRPr="00EF5DED">
        <w:t xml:space="preserve"> geltend gemacht wird</w:t>
      </w:r>
    </w:p>
    <w:p w:rsidR="00084CA0" w:rsidRPr="00EF5DED" w:rsidRDefault="00084CA0" w:rsidP="005349C1">
      <w:pPr>
        <w:pStyle w:val="Listenabsatz"/>
        <w:numPr>
          <w:ilvl w:val="0"/>
          <w:numId w:val="11"/>
        </w:numPr>
        <w:spacing w:line="276" w:lineRule="auto"/>
        <w:jc w:val="both"/>
      </w:pPr>
      <w:r>
        <w:t xml:space="preserve">Wirtschaftsgüter, für die ausdrücklich eine Sonderform der Abschreibung vorgesehen ist, </w:t>
      </w:r>
      <w:r w:rsidRPr="00EF5DED">
        <w:t xml:space="preserve">ausgenommen </w:t>
      </w:r>
      <w:r w:rsidRPr="00EF5DED">
        <w:rPr>
          <w:b/>
          <w:bCs/>
        </w:rPr>
        <w:t>KFZ mit einem CO</w:t>
      </w:r>
      <w:r w:rsidRPr="00EF5DED">
        <w:rPr>
          <w:b/>
          <w:bCs/>
          <w:vertAlign w:val="subscript"/>
        </w:rPr>
        <w:t>2</w:t>
      </w:r>
      <w:r w:rsidRPr="00EF5DED">
        <w:rPr>
          <w:b/>
          <w:bCs/>
        </w:rPr>
        <w:t>-Emissionswert von 0 Gramm</w:t>
      </w:r>
      <w:r w:rsidRPr="00EF5DED">
        <w:t xml:space="preserve"> pro Kilometer</w:t>
      </w:r>
    </w:p>
    <w:p w:rsidR="00EF5DED" w:rsidRPr="007320CC" w:rsidRDefault="00084CA0" w:rsidP="005349C1">
      <w:pPr>
        <w:pStyle w:val="Listenabsatz"/>
        <w:numPr>
          <w:ilvl w:val="0"/>
          <w:numId w:val="11"/>
        </w:numPr>
        <w:spacing w:line="276" w:lineRule="auto"/>
        <w:jc w:val="both"/>
      </w:pPr>
      <w:r w:rsidRPr="007320CC">
        <w:t>G</w:t>
      </w:r>
      <w:r w:rsidR="00EF5DED" w:rsidRPr="007320CC">
        <w:t>eringwertige Wirtschaftsgüter</w:t>
      </w:r>
    </w:p>
    <w:p w:rsidR="00084CA0" w:rsidRDefault="00084CA0" w:rsidP="005349C1">
      <w:pPr>
        <w:pStyle w:val="Listenabsatz"/>
        <w:numPr>
          <w:ilvl w:val="0"/>
          <w:numId w:val="11"/>
        </w:numPr>
        <w:spacing w:line="276" w:lineRule="auto"/>
        <w:jc w:val="both"/>
      </w:pPr>
      <w:r w:rsidRPr="00EF5DED">
        <w:rPr>
          <w:b/>
          <w:bCs/>
        </w:rPr>
        <w:t>Unkörperliche</w:t>
      </w:r>
      <w:r>
        <w:t xml:space="preserve"> Wirtschaftsgüter (außer aus den Bereichen Digitalisierung, Ökologisierung und Gesundheit/Life-Science)</w:t>
      </w:r>
    </w:p>
    <w:p w:rsidR="00084CA0" w:rsidRDefault="00084CA0" w:rsidP="005349C1">
      <w:pPr>
        <w:pStyle w:val="Listenabsatz"/>
        <w:numPr>
          <w:ilvl w:val="0"/>
          <w:numId w:val="11"/>
        </w:numPr>
        <w:spacing w:line="276" w:lineRule="auto"/>
        <w:jc w:val="both"/>
      </w:pPr>
      <w:r w:rsidRPr="00EF5DED">
        <w:rPr>
          <w:b/>
          <w:bCs/>
        </w:rPr>
        <w:t>Gebrauchte</w:t>
      </w:r>
      <w:r>
        <w:t xml:space="preserve"> Wirtschaftsgüter</w:t>
      </w:r>
    </w:p>
    <w:p w:rsidR="00084CA0" w:rsidRDefault="00084CA0" w:rsidP="005349C1">
      <w:pPr>
        <w:pStyle w:val="Listenabsatz"/>
        <w:numPr>
          <w:ilvl w:val="0"/>
          <w:numId w:val="11"/>
        </w:numPr>
        <w:spacing w:line="276" w:lineRule="auto"/>
        <w:jc w:val="both"/>
      </w:pPr>
      <w:r>
        <w:t>Anlagen</w:t>
      </w:r>
      <w:r w:rsidR="008F152A">
        <w:t>,</w:t>
      </w:r>
      <w:r>
        <w:t xml:space="preserve"> die der Förderung, dem Transport oder Speicherung fossiler Energieträger dienen</w:t>
      </w:r>
    </w:p>
    <w:p w:rsidR="00084CA0" w:rsidRDefault="00084CA0" w:rsidP="00E30D49">
      <w:pPr>
        <w:spacing w:line="276" w:lineRule="auto"/>
        <w:jc w:val="both"/>
      </w:pPr>
    </w:p>
    <w:p w:rsidR="00084CA0" w:rsidRDefault="001B4C5D" w:rsidP="001B4C5D">
      <w:pPr>
        <w:shd w:val="clear" w:color="auto" w:fill="FBD4B4" w:themeFill="accent6" w:themeFillTint="66"/>
        <w:spacing w:line="276" w:lineRule="auto"/>
        <w:jc w:val="both"/>
      </w:pPr>
      <w:r w:rsidRPr="001B4C5D">
        <w:rPr>
          <w:b/>
          <w:bCs/>
        </w:rPr>
        <w:t>TIPP</w:t>
      </w:r>
      <w:r>
        <w:t xml:space="preserve">: </w:t>
      </w:r>
      <w:r w:rsidR="00084CA0">
        <w:t xml:space="preserve">Der </w:t>
      </w:r>
      <w:r w:rsidR="00084CA0" w:rsidRPr="001B4C5D">
        <w:rPr>
          <w:b/>
          <w:bCs/>
        </w:rPr>
        <w:t>Investitionsfreibetrag ist ein Wahlrecht, welches im Jahr der Anschaffung</w:t>
      </w:r>
      <w:r w:rsidR="00084CA0">
        <w:t xml:space="preserve"> oder Herstellung mit der Steuererklärung ausgeübt werden muss. Da der Investitionsfreibetrag nicht gleichzeitig mit dem investitionsbedingten Gewinnfreibetrag geltend gemacht werden kann, empfiehlt es sich, für jedes Wirtschaftsgut einen Vorteilhaftigkeitsvergleich anzustellen. Es ist daher </w:t>
      </w:r>
      <w:r w:rsidR="00084CA0" w:rsidRPr="00084CA0">
        <w:t>bereits im Jahr 2022 im Rahmen der Dispositionen von Einnahmen/Ausgaben bzw</w:t>
      </w:r>
      <w:r>
        <w:t xml:space="preserve"> bei</w:t>
      </w:r>
      <w:r w:rsidR="00084CA0" w:rsidRPr="00084CA0">
        <w:t xml:space="preserve"> Investition</w:t>
      </w:r>
      <w:r>
        <w:t xml:space="preserve">sentscheidungen </w:t>
      </w:r>
      <w:r w:rsidR="00084CA0" w:rsidRPr="00084CA0">
        <w:t>zu überlegen, ob eine Verschiebung in das Jahr 2023 vorteilhaft sein könnte</w:t>
      </w:r>
      <w:r w:rsidR="00084CA0">
        <w:t>.</w:t>
      </w:r>
    </w:p>
    <w:p w:rsidR="00084CA0" w:rsidRDefault="00084CA0" w:rsidP="00E30D49">
      <w:pPr>
        <w:spacing w:line="276" w:lineRule="auto"/>
        <w:jc w:val="both"/>
      </w:pPr>
    </w:p>
    <w:p w:rsidR="0021359A" w:rsidRPr="00ED7460" w:rsidRDefault="0021359A" w:rsidP="00E30D49">
      <w:pPr>
        <w:spacing w:line="276" w:lineRule="auto"/>
        <w:jc w:val="both"/>
      </w:pPr>
    </w:p>
    <w:p w:rsidR="00B91056" w:rsidRPr="007320CC" w:rsidRDefault="007320CC" w:rsidP="007320CC">
      <w:pPr>
        <w:pStyle w:val="berschrift1"/>
        <w:rPr>
          <w:color w:val="E36C0A" w:themeColor="accent6" w:themeShade="BF"/>
          <w:sz w:val="24"/>
          <w:szCs w:val="24"/>
          <w:u w:val="none"/>
        </w:rPr>
      </w:pPr>
      <w:bookmarkStart w:id="57" w:name="_Toc116494061"/>
      <w:bookmarkStart w:id="58" w:name="_Toc116923137"/>
      <w:bookmarkStart w:id="59" w:name="_Hlk117007036"/>
      <w:r w:rsidRPr="007320CC">
        <w:rPr>
          <w:color w:val="E36C0A" w:themeColor="accent6" w:themeShade="BF"/>
          <w:sz w:val="24"/>
          <w:szCs w:val="24"/>
          <w:u w:val="none"/>
        </w:rPr>
        <w:t>WAS SIE BEI DER STEUERPLANUNG FÜR 2022 BEACHTEN SOLLTEN</w:t>
      </w:r>
      <w:bookmarkEnd w:id="57"/>
      <w:bookmarkEnd w:id="58"/>
    </w:p>
    <w:p w:rsidR="00B91056" w:rsidRPr="00D101C1" w:rsidRDefault="00B91056" w:rsidP="005349C1">
      <w:pPr>
        <w:pStyle w:val="Listenabsatz"/>
        <w:numPr>
          <w:ilvl w:val="1"/>
          <w:numId w:val="4"/>
        </w:numPr>
        <w:spacing w:before="240"/>
        <w:jc w:val="both"/>
        <w:rPr>
          <w:rFonts w:cs="Arial"/>
          <w:b/>
        </w:rPr>
      </w:pPr>
      <w:r w:rsidRPr="00D101C1">
        <w:rPr>
          <w:rFonts w:cs="Arial"/>
          <w:b/>
        </w:rPr>
        <w:t>Langfristige Rückstellungen</w:t>
      </w:r>
    </w:p>
    <w:p w:rsidR="00B91056" w:rsidRPr="00D101C1" w:rsidRDefault="00B91056" w:rsidP="0021359A">
      <w:pPr>
        <w:spacing w:after="240"/>
        <w:jc w:val="both"/>
        <w:rPr>
          <w:rFonts w:cs="Arial"/>
        </w:rPr>
      </w:pPr>
      <w:r w:rsidRPr="00D101C1">
        <w:rPr>
          <w:rFonts w:cs="Arial"/>
        </w:rPr>
        <w:t>Langfristige Rückstellungen</w:t>
      </w:r>
      <w:r w:rsidRPr="00D101C1">
        <w:rPr>
          <w:rFonts w:cs="Arial"/>
          <w:b/>
        </w:rPr>
        <w:t xml:space="preserve"> </w:t>
      </w:r>
      <w:r w:rsidRPr="00D101C1">
        <w:rPr>
          <w:rFonts w:cs="Arial"/>
        </w:rPr>
        <w:t xml:space="preserve">sind mit einem fixen </w:t>
      </w:r>
      <w:r w:rsidRPr="00D101C1">
        <w:rPr>
          <w:rFonts w:cs="Arial"/>
          <w:b/>
        </w:rPr>
        <w:t xml:space="preserve">Zinssatz </w:t>
      </w:r>
      <w:r w:rsidRPr="00D101C1">
        <w:rPr>
          <w:rFonts w:cs="Arial"/>
        </w:rPr>
        <w:t xml:space="preserve">von </w:t>
      </w:r>
      <w:r w:rsidRPr="00D101C1">
        <w:rPr>
          <w:rFonts w:cs="Arial"/>
          <w:b/>
        </w:rPr>
        <w:t>3,5%</w:t>
      </w:r>
      <w:r w:rsidRPr="00D101C1">
        <w:rPr>
          <w:rFonts w:cs="Arial"/>
        </w:rPr>
        <w:t xml:space="preserve"> über die voraussichtliche Laufzeit </w:t>
      </w:r>
      <w:r w:rsidRPr="00D101C1">
        <w:rPr>
          <w:rFonts w:cs="Arial"/>
          <w:b/>
        </w:rPr>
        <w:t>abzuzinsen.</w:t>
      </w:r>
    </w:p>
    <w:p w:rsidR="00B91056" w:rsidRPr="007320CC" w:rsidRDefault="00B91056" w:rsidP="005349C1">
      <w:pPr>
        <w:pStyle w:val="Listenabsatz"/>
        <w:numPr>
          <w:ilvl w:val="1"/>
          <w:numId w:val="4"/>
        </w:numPr>
        <w:spacing w:line="276" w:lineRule="auto"/>
        <w:jc w:val="both"/>
        <w:rPr>
          <w:rFonts w:cs="Arial"/>
          <w:b/>
        </w:rPr>
      </w:pPr>
      <w:r w:rsidRPr="007320CC">
        <w:rPr>
          <w:rFonts w:cs="Arial"/>
          <w:b/>
        </w:rPr>
        <w:t xml:space="preserve">Managergehälter </w:t>
      </w:r>
    </w:p>
    <w:bookmarkEnd w:id="59"/>
    <w:p w:rsidR="00B91056" w:rsidRPr="00D101C1" w:rsidRDefault="00AD3315" w:rsidP="00F9548A">
      <w:pPr>
        <w:spacing w:after="240" w:line="276" w:lineRule="auto"/>
        <w:jc w:val="both"/>
        <w:rPr>
          <w:rFonts w:cs="Arial"/>
        </w:rPr>
      </w:pPr>
      <w:r w:rsidRPr="007320CC">
        <w:t>Die steuerliche Absetzbarkeit von Managervergütungen ist mit</w:t>
      </w:r>
      <w:r w:rsidR="00B91056" w:rsidRPr="007320CC">
        <w:t xml:space="preserve"> € 500.000 brutto pro Person </w:t>
      </w:r>
      <w:r w:rsidRPr="007320CC">
        <w:t xml:space="preserve">und </w:t>
      </w:r>
      <w:r w:rsidR="00B91056" w:rsidRPr="007320CC">
        <w:t>Wirt</w:t>
      </w:r>
      <w:r w:rsidRPr="007320CC">
        <w:t>schaftsjahr gedeckelt.</w:t>
      </w:r>
      <w:r w:rsidR="00B91056" w:rsidRPr="007320CC">
        <w:t xml:space="preserve"> Diese Bestimmung ist aber nicht nur auf Managergehälter anzuwenden, sondern betrifft alle echten Dienstnehmer und vergleichbar organisatorisch eingegliederte Personen (inklusive überlassene Personen), unabhängig davon, ob sie aktiv tätig sind oder in der Vergangenheit Arbeits- oder Werkleistungen erbracht haben. Freiwillige Abfertigungen und Abfindungen sind nur mehr insoweit als Betriebsausgabe abzugsfähig, als sie</w:t>
      </w:r>
      <w:r w:rsidR="00B91056" w:rsidRPr="00D101C1">
        <w:rPr>
          <w:rFonts w:cs="Arial"/>
        </w:rPr>
        <w:t xml:space="preserve"> beim Empfänger der begünstigten </w:t>
      </w:r>
      <w:r w:rsidR="00B91056" w:rsidRPr="00D101C1">
        <w:rPr>
          <w:rFonts w:cs="Arial"/>
          <w:b/>
        </w:rPr>
        <w:t>Besteuerung</w:t>
      </w:r>
      <w:r w:rsidR="00B91056" w:rsidRPr="00D101C1">
        <w:rPr>
          <w:rFonts w:cs="Arial"/>
        </w:rPr>
        <w:t xml:space="preserve"> </w:t>
      </w:r>
      <w:r w:rsidR="00B4060C" w:rsidRPr="00D101C1">
        <w:rPr>
          <w:rFonts w:cs="Arial"/>
          <w:b/>
        </w:rPr>
        <w:t>mit 6%</w:t>
      </w:r>
      <w:r w:rsidR="00B4060C" w:rsidRPr="00D101C1">
        <w:rPr>
          <w:rFonts w:cs="Arial"/>
        </w:rPr>
        <w:t xml:space="preserve"> </w:t>
      </w:r>
      <w:r w:rsidR="00B91056" w:rsidRPr="00D101C1">
        <w:rPr>
          <w:rFonts w:cs="Arial"/>
        </w:rPr>
        <w:t>gem § 67 Abs 6 EStG unterliegen.</w:t>
      </w:r>
    </w:p>
    <w:p w:rsidR="000B630A" w:rsidRDefault="000B630A" w:rsidP="005349C1">
      <w:pPr>
        <w:pStyle w:val="Listenabsatz"/>
        <w:numPr>
          <w:ilvl w:val="1"/>
          <w:numId w:val="4"/>
        </w:numPr>
        <w:spacing w:line="276" w:lineRule="auto"/>
        <w:jc w:val="both"/>
        <w:rPr>
          <w:rFonts w:cs="Arial"/>
          <w:b/>
        </w:rPr>
      </w:pPr>
      <w:r w:rsidRPr="000B630A">
        <w:rPr>
          <w:rFonts w:cs="Arial"/>
          <w:b/>
        </w:rPr>
        <w:t>Pauschal</w:t>
      </w:r>
      <w:r w:rsidR="008C76FB">
        <w:rPr>
          <w:rFonts w:cs="Arial"/>
          <w:b/>
        </w:rPr>
        <w:t>e Forderungswertberichtigungen und pauschale Rückstellungen</w:t>
      </w:r>
    </w:p>
    <w:p w:rsidR="000B630A" w:rsidRDefault="00180F5D" w:rsidP="0021359A">
      <w:pPr>
        <w:spacing w:line="276" w:lineRule="auto"/>
        <w:jc w:val="both"/>
        <w:rPr>
          <w:rFonts w:cs="Arial"/>
        </w:rPr>
      </w:pPr>
      <w:r>
        <w:rPr>
          <w:rFonts w:cs="Arial"/>
        </w:rPr>
        <w:t xml:space="preserve">Seit dem Wirtschaftsjahr 2021 </w:t>
      </w:r>
      <w:r w:rsidR="008C76FB">
        <w:rPr>
          <w:rFonts w:cs="Arial"/>
        </w:rPr>
        <w:t xml:space="preserve">sind </w:t>
      </w:r>
      <w:r w:rsidR="008C76FB" w:rsidRPr="001C5309">
        <w:rPr>
          <w:rFonts w:cs="Arial"/>
          <w:b/>
        </w:rPr>
        <w:t>pauschale Forderungswertberichtigungen sowie die Bildung von pauschalen Rückstellungen steuerlich zulässig</w:t>
      </w:r>
      <w:r w:rsidR="008C76FB">
        <w:rPr>
          <w:rFonts w:cs="Arial"/>
        </w:rPr>
        <w:t xml:space="preserve">. </w:t>
      </w:r>
      <w:r w:rsidR="007E5813">
        <w:rPr>
          <w:rFonts w:cs="Arial"/>
        </w:rPr>
        <w:t>In</w:t>
      </w:r>
      <w:r w:rsidR="008C76FB">
        <w:rPr>
          <w:rFonts w:cs="Arial"/>
        </w:rPr>
        <w:t xml:space="preserve"> beiden Fällen ist für die Bildung der unternehmensrechtliche Ansatz maßgeblich. Die steuerliche Berücksichtigung von pauschalen Rückstellungen beschränkt sich allerdings auf Rückstellungen für sonstige ungewisse Verbindlichkeiten. </w:t>
      </w:r>
      <w:r w:rsidR="0002264F">
        <w:rPr>
          <w:rFonts w:cs="Arial"/>
        </w:rPr>
        <w:t>Pausch</w:t>
      </w:r>
      <w:r w:rsidR="00E16316">
        <w:rPr>
          <w:rFonts w:cs="Arial"/>
        </w:rPr>
        <w:t xml:space="preserve">ale </w:t>
      </w:r>
      <w:r w:rsidR="00834D4D" w:rsidRPr="0002264F">
        <w:rPr>
          <w:rFonts w:cs="Arial"/>
        </w:rPr>
        <w:t>Drohverlustrückstellungen sowie</w:t>
      </w:r>
      <w:r w:rsidR="00834D4D">
        <w:rPr>
          <w:rFonts w:cs="Arial"/>
        </w:rPr>
        <w:t xml:space="preserve"> Aufwandsrückstellungen bleiben steuerlich ausgeschlossen.</w:t>
      </w:r>
    </w:p>
    <w:p w:rsidR="001C5309" w:rsidRPr="000B630A" w:rsidRDefault="00834D4D" w:rsidP="0021359A">
      <w:pPr>
        <w:spacing w:line="276" w:lineRule="auto"/>
        <w:jc w:val="both"/>
        <w:rPr>
          <w:rFonts w:cs="Arial"/>
        </w:rPr>
      </w:pPr>
      <w:r>
        <w:rPr>
          <w:rFonts w:cs="Arial"/>
        </w:rPr>
        <w:t xml:space="preserve">Eine pauschale Forderungswertberichtigung darf auch für Forderungen erfolgen, die bereits vor dem 1.1.2021 entstanden sind. Pauschale Rückstellungen dürfen ebenfalls </w:t>
      </w:r>
      <w:r w:rsidR="001C5309">
        <w:rPr>
          <w:rFonts w:cs="Arial"/>
        </w:rPr>
        <w:t xml:space="preserve">gebildet werden, wenn der Anlass für die erstmalige Bildung bereits vor dem 1.1.2021 liegt. In solchen Fällen sind allerdings die </w:t>
      </w:r>
      <w:r w:rsidR="001C5309" w:rsidRPr="001C5309">
        <w:rPr>
          <w:rFonts w:cs="Arial"/>
          <w:b/>
        </w:rPr>
        <w:t>Wertberichtigungs- bzw Rückstellungsbeträge auf das Jahr 2021 und gleichmäßig auf die folgenden vier Wirtschaftsjahre zu verteilen</w:t>
      </w:r>
      <w:r w:rsidR="001C5309">
        <w:rPr>
          <w:rFonts w:cs="Arial"/>
        </w:rPr>
        <w:t>.</w:t>
      </w:r>
    </w:p>
    <w:p w:rsidR="00A266A8" w:rsidRDefault="00A266A8" w:rsidP="0021359A">
      <w:pPr>
        <w:spacing w:line="276" w:lineRule="auto"/>
        <w:jc w:val="both"/>
        <w:rPr>
          <w:rFonts w:cs="Arial"/>
        </w:rPr>
      </w:pPr>
    </w:p>
    <w:p w:rsidR="0021359A" w:rsidRDefault="0021359A" w:rsidP="0021359A">
      <w:pPr>
        <w:spacing w:line="276" w:lineRule="auto"/>
        <w:jc w:val="both"/>
        <w:rPr>
          <w:rFonts w:cs="Arial"/>
        </w:rPr>
      </w:pPr>
    </w:p>
    <w:p w:rsidR="00B91056" w:rsidRPr="0021359A" w:rsidRDefault="0021359A" w:rsidP="0021359A">
      <w:pPr>
        <w:pStyle w:val="berschrift1"/>
        <w:spacing w:line="276" w:lineRule="auto"/>
        <w:rPr>
          <w:color w:val="E36C0A" w:themeColor="accent6" w:themeShade="BF"/>
          <w:sz w:val="24"/>
          <w:szCs w:val="24"/>
          <w:u w:val="none"/>
        </w:rPr>
      </w:pPr>
      <w:bookmarkStart w:id="60" w:name="_Toc306629700"/>
      <w:bookmarkStart w:id="61" w:name="_Toc306630497"/>
      <w:bookmarkStart w:id="62" w:name="_Toc306632121"/>
      <w:bookmarkStart w:id="63" w:name="_Toc116494062"/>
      <w:bookmarkStart w:id="64" w:name="_Toc116923138"/>
      <w:r w:rsidRPr="0021359A">
        <w:rPr>
          <w:color w:val="E36C0A" w:themeColor="accent6" w:themeShade="BF"/>
          <w:sz w:val="24"/>
          <w:szCs w:val="24"/>
          <w:u w:val="none"/>
        </w:rPr>
        <w:t>SPENDEN AUS DEM BETRIEBSVERMÖGEN</w:t>
      </w:r>
      <w:bookmarkEnd w:id="60"/>
      <w:bookmarkEnd w:id="61"/>
      <w:bookmarkEnd w:id="62"/>
      <w:bookmarkEnd w:id="63"/>
      <w:bookmarkEnd w:id="64"/>
      <w:r w:rsidRPr="0021359A">
        <w:rPr>
          <w:color w:val="E36C0A" w:themeColor="accent6" w:themeShade="BF"/>
          <w:sz w:val="24"/>
          <w:szCs w:val="24"/>
          <w:u w:val="none"/>
        </w:rPr>
        <w:t xml:space="preserve"> </w:t>
      </w:r>
    </w:p>
    <w:p w:rsidR="00B91056" w:rsidRPr="00D101C1" w:rsidRDefault="00B91056" w:rsidP="0021359A">
      <w:pPr>
        <w:spacing w:line="276" w:lineRule="auto"/>
        <w:jc w:val="both"/>
        <w:rPr>
          <w:rFonts w:cs="Arial"/>
        </w:rPr>
      </w:pPr>
      <w:r w:rsidRPr="00D101C1">
        <w:rPr>
          <w:rFonts w:cs="Arial"/>
          <w:b/>
        </w:rPr>
        <w:t>Spenden</w:t>
      </w:r>
      <w:r w:rsidRPr="00D101C1">
        <w:rPr>
          <w:rFonts w:cs="Arial"/>
        </w:rPr>
        <w:t xml:space="preserve"> aus dem Betriebsvermögen an bestimmte im Gesetz genannte begünstigte Institutionen sind </w:t>
      </w:r>
      <w:r w:rsidR="00306531" w:rsidRPr="005F2DB3">
        <w:rPr>
          <w:rFonts w:cs="Arial"/>
          <w:b/>
        </w:rPr>
        <w:t>grundsätzlich bis</w:t>
      </w:r>
      <w:r w:rsidRPr="005F2DB3">
        <w:rPr>
          <w:rFonts w:cs="Arial"/>
          <w:b/>
        </w:rPr>
        <w:t xml:space="preserve"> maximal 10% des Gewinns</w:t>
      </w:r>
      <w:r w:rsidRPr="005F2DB3">
        <w:rPr>
          <w:rFonts w:cs="Arial"/>
        </w:rPr>
        <w:t xml:space="preserve"> des laufenden Wirtschaftsjahres</w:t>
      </w:r>
      <w:r w:rsidRPr="00D101C1">
        <w:rPr>
          <w:rFonts w:cs="Arial"/>
        </w:rPr>
        <w:t xml:space="preserve"> steuerlich absetzbar</w:t>
      </w:r>
      <w:r w:rsidR="005F2DB3">
        <w:rPr>
          <w:rFonts w:cs="Arial"/>
        </w:rPr>
        <w:t xml:space="preserve">. </w:t>
      </w:r>
      <w:r w:rsidRPr="00D101C1">
        <w:rPr>
          <w:rFonts w:cs="Arial"/>
        </w:rPr>
        <w:t>Als Obergrenze gilt der Gewinn vor Berücksichtigung des Gewinnfreibetrags. Damit derartige Spenden noch im Jahr 20</w:t>
      </w:r>
      <w:r w:rsidR="009547C8" w:rsidRPr="00D101C1">
        <w:rPr>
          <w:rFonts w:cs="Arial"/>
        </w:rPr>
        <w:t>2</w:t>
      </w:r>
      <w:r w:rsidR="00180F5D">
        <w:rPr>
          <w:rFonts w:cs="Arial"/>
        </w:rPr>
        <w:t>2</w:t>
      </w:r>
      <w:r w:rsidRPr="00D101C1">
        <w:rPr>
          <w:rFonts w:cs="Arial"/>
        </w:rPr>
        <w:t xml:space="preserve"> abgesetzt werden können, müssen sie bis spätestens 31.12.20</w:t>
      </w:r>
      <w:r w:rsidR="009547C8" w:rsidRPr="00D101C1">
        <w:rPr>
          <w:rFonts w:cs="Arial"/>
        </w:rPr>
        <w:t>2</w:t>
      </w:r>
      <w:r w:rsidR="00180F5D">
        <w:rPr>
          <w:rFonts w:cs="Arial"/>
        </w:rPr>
        <w:t>2</w:t>
      </w:r>
      <w:r w:rsidRPr="00D101C1">
        <w:rPr>
          <w:rFonts w:cs="Arial"/>
        </w:rPr>
        <w:t xml:space="preserve"> geleistet werden (für weitere Details siehe Ausführungen zu „Spenden als Sonderausgaben“).</w:t>
      </w:r>
    </w:p>
    <w:p w:rsidR="00B91056" w:rsidRDefault="00B91056" w:rsidP="0021359A">
      <w:pPr>
        <w:spacing w:line="276" w:lineRule="auto"/>
        <w:jc w:val="both"/>
        <w:rPr>
          <w:rFonts w:cs="Arial"/>
        </w:rPr>
      </w:pPr>
      <w:r w:rsidRPr="00D101C1">
        <w:rPr>
          <w:rFonts w:cs="Arial"/>
          <w:b/>
        </w:rPr>
        <w:t>Zusätzlich</w:t>
      </w:r>
      <w:r w:rsidRPr="00D101C1">
        <w:rPr>
          <w:rFonts w:cs="Arial"/>
        </w:rPr>
        <w:t xml:space="preserve"> zu diesen Spenden sind als </w:t>
      </w:r>
      <w:r w:rsidRPr="00D101C1">
        <w:rPr>
          <w:rFonts w:cs="Arial"/>
          <w:b/>
        </w:rPr>
        <w:t>Betriebsausgaben</w:t>
      </w:r>
      <w:r w:rsidRPr="00D101C1">
        <w:rPr>
          <w:rFonts w:cs="Arial"/>
        </w:rPr>
        <w:t xml:space="preserve"> auch Geld- und Sachspenden im Zusammenhang mit der </w:t>
      </w:r>
      <w:r w:rsidRPr="00D101C1">
        <w:rPr>
          <w:rFonts w:cs="Arial"/>
          <w:b/>
        </w:rPr>
        <w:t>Hilfestellung bei (nationalen und internationalen) Katastrophen</w:t>
      </w:r>
      <w:r w:rsidRPr="00D101C1">
        <w:rPr>
          <w:rFonts w:cs="Arial"/>
        </w:rPr>
        <w:t xml:space="preserve"> (insbesondere bei Hochwasser-, Erdrutsch-, Vermurungs- und Lawinenschäden) absetzbar, und zwar </w:t>
      </w:r>
      <w:r w:rsidRPr="00D101C1">
        <w:rPr>
          <w:rFonts w:cs="Arial"/>
          <w:b/>
        </w:rPr>
        <w:t>betragsmäßig unbegrenzt!</w:t>
      </w:r>
      <w:r w:rsidR="00180F5D">
        <w:rPr>
          <w:rFonts w:cs="Arial"/>
          <w:b/>
        </w:rPr>
        <w:t xml:space="preserve"> </w:t>
      </w:r>
      <w:r w:rsidR="00917BD7">
        <w:rPr>
          <w:rFonts w:cs="Arial"/>
        </w:rPr>
        <w:t>A</w:t>
      </w:r>
      <w:r w:rsidR="00180F5D">
        <w:rPr>
          <w:rFonts w:cs="Arial"/>
        </w:rPr>
        <w:t xml:space="preserve">uch kriegerische Ereignisse, Terroranschläge oder sonstige humanitäre Katastrophen (zB Seuchen, Hungersnöte, Flüchtlingskatastrophen) </w:t>
      </w:r>
      <w:r w:rsidR="00917BD7">
        <w:rPr>
          <w:rFonts w:cs="Arial"/>
        </w:rPr>
        <w:t xml:space="preserve">gelten </w:t>
      </w:r>
      <w:r w:rsidR="00353828">
        <w:rPr>
          <w:rFonts w:cs="Arial"/>
        </w:rPr>
        <w:t xml:space="preserve">als Katastrophenfall </w:t>
      </w:r>
      <w:r w:rsidR="00541451">
        <w:rPr>
          <w:rFonts w:cs="Arial"/>
        </w:rPr>
        <w:t>iSd E</w:t>
      </w:r>
      <w:r w:rsidR="0021359A">
        <w:rPr>
          <w:rFonts w:cs="Arial"/>
        </w:rPr>
        <w:t>S</w:t>
      </w:r>
      <w:r w:rsidR="00541451">
        <w:rPr>
          <w:rFonts w:cs="Arial"/>
        </w:rPr>
        <w:t>tG</w:t>
      </w:r>
      <w:r w:rsidR="00917BD7">
        <w:rPr>
          <w:rFonts w:cs="Arial"/>
        </w:rPr>
        <w:t xml:space="preserve">, was durch den Ukraine-Krieg ja leider an Bedeutung </w:t>
      </w:r>
      <w:r w:rsidR="0021359A">
        <w:rPr>
          <w:rFonts w:cs="Arial"/>
        </w:rPr>
        <w:t>zugenommen</w:t>
      </w:r>
      <w:r w:rsidR="00917BD7">
        <w:rPr>
          <w:rFonts w:cs="Arial"/>
        </w:rPr>
        <w:t xml:space="preserve"> hat.</w:t>
      </w:r>
      <w:r w:rsidRPr="00D101C1">
        <w:rPr>
          <w:rFonts w:cs="Arial"/>
        </w:rPr>
        <w:t xml:space="preserve"> Voraussetzung ist, dass sie als Werbung entsprechend vermarktet werden (zB durch Erwähnung auf der Homepage oder in Werbeprospekten des Unternehmens).</w:t>
      </w:r>
    </w:p>
    <w:p w:rsidR="00353828" w:rsidRDefault="00353828" w:rsidP="0021359A">
      <w:pPr>
        <w:spacing w:line="276" w:lineRule="auto"/>
        <w:jc w:val="both"/>
        <w:rPr>
          <w:rFonts w:cs="Arial"/>
        </w:rPr>
      </w:pPr>
    </w:p>
    <w:p w:rsidR="00353828" w:rsidRPr="00D101C1" w:rsidRDefault="00AD3315" w:rsidP="0021359A">
      <w:pPr>
        <w:shd w:val="clear" w:color="auto" w:fill="B8CCE4" w:themeFill="accent1" w:themeFillTint="66"/>
        <w:spacing w:line="276" w:lineRule="auto"/>
        <w:jc w:val="both"/>
        <w:rPr>
          <w:rFonts w:cs="Arial"/>
        </w:rPr>
      </w:pPr>
      <w:r w:rsidRPr="00AD3315">
        <w:rPr>
          <w:rFonts w:cs="Arial"/>
          <w:b/>
          <w:bCs/>
        </w:rPr>
        <w:t>Hinweis</w:t>
      </w:r>
      <w:r>
        <w:rPr>
          <w:rFonts w:cs="Arial"/>
        </w:rPr>
        <w:t xml:space="preserve">: </w:t>
      </w:r>
      <w:r w:rsidR="00353828">
        <w:rPr>
          <w:rFonts w:cs="Arial"/>
        </w:rPr>
        <w:t>Neben der üblichen Geldspende</w:t>
      </w:r>
      <w:r w:rsidR="00F9548A">
        <w:rPr>
          <w:rFonts w:cs="Arial"/>
        </w:rPr>
        <w:t xml:space="preserve"> </w:t>
      </w:r>
      <w:r w:rsidR="00353828">
        <w:rPr>
          <w:rFonts w:cs="Arial"/>
        </w:rPr>
        <w:t xml:space="preserve">ist auch eine werbewirksame </w:t>
      </w:r>
      <w:r w:rsidR="00353828" w:rsidRPr="00F9548A">
        <w:rPr>
          <w:rFonts w:cs="Arial"/>
          <w:b/>
        </w:rPr>
        <w:t>„Wohnraumspende“ möglich</w:t>
      </w:r>
      <w:r w:rsidR="00F9548A">
        <w:rPr>
          <w:rFonts w:cs="Arial"/>
          <w:b/>
        </w:rPr>
        <w:t>,</w:t>
      </w:r>
      <w:r w:rsidR="00353828">
        <w:rPr>
          <w:rFonts w:cs="Arial"/>
        </w:rPr>
        <w:t xml:space="preserve"> sodass bei der vorübergehenden, unentgeltlichen (oder niedr</w:t>
      </w:r>
      <w:r>
        <w:rPr>
          <w:rFonts w:cs="Arial"/>
        </w:rPr>
        <w:t>ig</w:t>
      </w:r>
      <w:r w:rsidR="00353828">
        <w:rPr>
          <w:rFonts w:cs="Arial"/>
        </w:rPr>
        <w:t xml:space="preserve">preisigen) Überlassung von Immobilien an Flüchtlinge aus der Ukraine durch inländische Kapitalgesellschaften von einer betrieblichen </w:t>
      </w:r>
      <w:r w:rsidR="00205F5C">
        <w:rPr>
          <w:rFonts w:cs="Arial"/>
        </w:rPr>
        <w:t>Vera</w:t>
      </w:r>
      <w:r w:rsidR="00353828">
        <w:rPr>
          <w:rFonts w:cs="Arial"/>
        </w:rPr>
        <w:t>nlassung dieser Zuwendung ausgegangen werden kann</w:t>
      </w:r>
      <w:r w:rsidR="008F152A">
        <w:rPr>
          <w:rFonts w:cs="Arial"/>
        </w:rPr>
        <w:t xml:space="preserve"> (siehe </w:t>
      </w:r>
      <w:r w:rsidR="00F9548A">
        <w:rPr>
          <w:rFonts w:cs="Arial"/>
        </w:rPr>
        <w:t xml:space="preserve">dazu </w:t>
      </w:r>
      <w:r w:rsidR="008F152A">
        <w:rPr>
          <w:rFonts w:cs="Arial"/>
        </w:rPr>
        <w:t>Sonderklienten</w:t>
      </w:r>
      <w:r w:rsidR="0021359A">
        <w:rPr>
          <w:rFonts w:cs="Arial"/>
        </w:rPr>
        <w:t>INFO</w:t>
      </w:r>
      <w:r w:rsidR="008F152A">
        <w:rPr>
          <w:rFonts w:cs="Arial"/>
        </w:rPr>
        <w:t xml:space="preserve"> </w:t>
      </w:r>
      <w:r w:rsidR="00F9548A">
        <w:rPr>
          <w:rFonts w:cs="Arial"/>
        </w:rPr>
        <w:t>3/2022 Ukraine</w:t>
      </w:r>
      <w:r w:rsidR="008F152A">
        <w:rPr>
          <w:rFonts w:cs="Arial"/>
        </w:rPr>
        <w:t>)</w:t>
      </w:r>
      <w:r w:rsidR="00F9548A">
        <w:rPr>
          <w:rFonts w:cs="Arial"/>
        </w:rPr>
        <w:t>.</w:t>
      </w:r>
    </w:p>
    <w:p w:rsidR="0058619D" w:rsidRPr="00D101C1" w:rsidRDefault="0058619D" w:rsidP="0021359A">
      <w:pPr>
        <w:spacing w:line="276" w:lineRule="auto"/>
        <w:jc w:val="both"/>
        <w:rPr>
          <w:rFonts w:cs="Arial"/>
        </w:rPr>
      </w:pPr>
    </w:p>
    <w:p w:rsidR="00B91056" w:rsidRPr="00233F3F" w:rsidRDefault="00136167" w:rsidP="0021359A">
      <w:pPr>
        <w:shd w:val="clear" w:color="auto" w:fill="FBD4B4" w:themeFill="accent6" w:themeFillTint="66"/>
        <w:tabs>
          <w:tab w:val="left" w:pos="8789"/>
        </w:tabs>
        <w:spacing w:line="276" w:lineRule="auto"/>
        <w:jc w:val="both"/>
        <w:rPr>
          <w:rFonts w:cs="Arial"/>
        </w:rPr>
      </w:pPr>
      <w:r w:rsidRPr="00233F3F">
        <w:rPr>
          <w:rFonts w:cs="Arial"/>
          <w:b/>
          <w:bCs/>
        </w:rPr>
        <w:t>TIPP</w:t>
      </w:r>
      <w:r w:rsidRPr="00233F3F">
        <w:rPr>
          <w:rFonts w:cs="Arial"/>
        </w:rPr>
        <w:t xml:space="preserve">: Steuerlich absetzbar sind auch </w:t>
      </w:r>
      <w:r w:rsidRPr="00233F3F">
        <w:rPr>
          <w:rFonts w:cs="Arial"/>
          <w:b/>
          <w:bCs/>
        </w:rPr>
        <w:t>Sponsorbeträge</w:t>
      </w:r>
      <w:r w:rsidRPr="00233F3F">
        <w:rPr>
          <w:rFonts w:cs="Arial"/>
        </w:rPr>
        <w:t xml:space="preserve"> an diverse gemeinnützige, kulturelle, sportliche und ähnliche Institutionen (Oper, Museen, Sportvereine</w:t>
      </w:r>
      <w:r w:rsidR="00A02B05" w:rsidRPr="00233F3F">
        <w:rPr>
          <w:rFonts w:cs="Arial"/>
        </w:rPr>
        <w:t>,</w:t>
      </w:r>
      <w:r w:rsidRPr="00233F3F">
        <w:rPr>
          <w:rFonts w:cs="Arial"/>
        </w:rPr>
        <w:t xml:space="preserve"> etc), wenn damit eine angemessene Gegenleistung in Form von </w:t>
      </w:r>
      <w:r w:rsidRPr="00233F3F">
        <w:rPr>
          <w:rFonts w:cs="Arial"/>
          <w:b/>
          <w:bCs/>
        </w:rPr>
        <w:t>Werbeleistungen</w:t>
      </w:r>
      <w:r w:rsidRPr="00233F3F">
        <w:rPr>
          <w:rFonts w:cs="Arial"/>
        </w:rPr>
        <w:t xml:space="preserve"> verbunden ist. Bei derartigen Zahlungen handelt es sich dann nämlich nicht um Spenden, sondern um echten Werbeaufwand.</w:t>
      </w:r>
    </w:p>
    <w:p w:rsidR="00136167" w:rsidRDefault="00136167" w:rsidP="0021359A">
      <w:pPr>
        <w:spacing w:line="276" w:lineRule="auto"/>
        <w:jc w:val="both"/>
        <w:rPr>
          <w:rFonts w:cs="Arial"/>
        </w:rPr>
      </w:pPr>
    </w:p>
    <w:p w:rsidR="0021359A" w:rsidRPr="00D101C1" w:rsidRDefault="0021359A" w:rsidP="0021359A">
      <w:pPr>
        <w:spacing w:line="276" w:lineRule="auto"/>
        <w:jc w:val="both"/>
        <w:rPr>
          <w:rFonts w:cs="Arial"/>
        </w:rPr>
      </w:pPr>
    </w:p>
    <w:p w:rsidR="00B91056" w:rsidRPr="0021359A" w:rsidRDefault="0021359A" w:rsidP="0021359A">
      <w:pPr>
        <w:pStyle w:val="berschrift1"/>
        <w:rPr>
          <w:color w:val="E36C0A" w:themeColor="accent6" w:themeShade="BF"/>
          <w:sz w:val="24"/>
          <w:szCs w:val="24"/>
          <w:u w:val="none"/>
        </w:rPr>
      </w:pPr>
      <w:bookmarkStart w:id="65" w:name="_Toc116494063"/>
      <w:bookmarkStart w:id="66" w:name="_Toc116923139"/>
      <w:r w:rsidRPr="0021359A">
        <w:rPr>
          <w:color w:val="E36C0A" w:themeColor="accent6" w:themeShade="BF"/>
          <w:sz w:val="24"/>
          <w:szCs w:val="24"/>
          <w:u w:val="none"/>
        </w:rPr>
        <w:t>FORSCHUNGSPRÄMIE</w:t>
      </w:r>
      <w:bookmarkEnd w:id="65"/>
      <w:bookmarkEnd w:id="66"/>
    </w:p>
    <w:p w:rsidR="00B91056" w:rsidRDefault="00B91056" w:rsidP="0021359A">
      <w:pPr>
        <w:spacing w:before="240" w:line="276" w:lineRule="auto"/>
        <w:jc w:val="both"/>
        <w:rPr>
          <w:rFonts w:cs="Arial"/>
        </w:rPr>
      </w:pPr>
      <w:r w:rsidRPr="00D101C1">
        <w:rPr>
          <w:rFonts w:cs="Arial"/>
        </w:rPr>
        <w:t>Für Forschungsaufwendungen (Forschungsausgaben) aus eigenbetrieblicher Forschung kann</w:t>
      </w:r>
      <w:r w:rsidR="00786245" w:rsidRPr="00D101C1">
        <w:rPr>
          <w:rFonts w:cs="Arial"/>
        </w:rPr>
        <w:t xml:space="preserve"> </w:t>
      </w:r>
      <w:r w:rsidRPr="00D101C1">
        <w:rPr>
          <w:rFonts w:cs="Arial"/>
        </w:rPr>
        <w:t xml:space="preserve">eine Forschungsprämie von </w:t>
      </w:r>
      <w:r w:rsidR="00E97FF2" w:rsidRPr="00D101C1">
        <w:rPr>
          <w:rFonts w:cs="Arial"/>
          <w:b/>
        </w:rPr>
        <w:t>14%</w:t>
      </w:r>
      <w:r w:rsidR="00E97FF2" w:rsidRPr="00D101C1">
        <w:rPr>
          <w:rFonts w:cs="Arial"/>
        </w:rPr>
        <w:t xml:space="preserve"> beantragt</w:t>
      </w:r>
      <w:r w:rsidR="00E97FF2" w:rsidRPr="00D101C1">
        <w:rPr>
          <w:rFonts w:cs="Arial"/>
          <w:color w:val="FF0000"/>
        </w:rPr>
        <w:t xml:space="preserve"> </w:t>
      </w:r>
      <w:r w:rsidRPr="00D101C1">
        <w:rPr>
          <w:rFonts w:cs="Arial"/>
        </w:rPr>
        <w:t xml:space="preserve">werden. </w:t>
      </w:r>
      <w:r w:rsidR="00EC06D9" w:rsidRPr="00D101C1">
        <w:rPr>
          <w:rFonts w:cs="Arial"/>
        </w:rPr>
        <w:t xml:space="preserve">Die prämienbegünstigten Forschungsaufwendungen (Ausgaben) bei eigenbetrieblicher Forschung sind betragsmäßig nicht gedeckelt. </w:t>
      </w:r>
      <w:r w:rsidRPr="00D101C1">
        <w:rPr>
          <w:rFonts w:cs="Arial"/>
        </w:rPr>
        <w:t xml:space="preserve">Prämien für </w:t>
      </w:r>
      <w:r w:rsidRPr="00D101C1">
        <w:rPr>
          <w:rFonts w:cs="Arial"/>
          <w:b/>
        </w:rPr>
        <w:t>Auftragsforschungen</w:t>
      </w:r>
      <w:r w:rsidRPr="00D101C1">
        <w:rPr>
          <w:rFonts w:cs="Arial"/>
        </w:rPr>
        <w:t xml:space="preserve"> können </w:t>
      </w:r>
      <w:r w:rsidR="00EC06D9" w:rsidRPr="00D101C1">
        <w:rPr>
          <w:rFonts w:cs="Arial"/>
        </w:rPr>
        <w:t xml:space="preserve">hingegen nur </w:t>
      </w:r>
      <w:r w:rsidRPr="00D101C1">
        <w:rPr>
          <w:rFonts w:cs="Arial"/>
        </w:rPr>
        <w:t xml:space="preserve">für Forschungsaufwendungen (Ausgaben) </w:t>
      </w:r>
      <w:r w:rsidRPr="00D101C1">
        <w:rPr>
          <w:rFonts w:cs="Arial"/>
          <w:b/>
        </w:rPr>
        <w:t>bis</w:t>
      </w:r>
      <w:r w:rsidRPr="00D101C1">
        <w:rPr>
          <w:rFonts w:cs="Arial"/>
        </w:rPr>
        <w:t xml:space="preserve"> zu einem Höchstbetrag von</w:t>
      </w:r>
      <w:r w:rsidRPr="00D101C1">
        <w:rPr>
          <w:rFonts w:cs="Arial"/>
          <w:b/>
        </w:rPr>
        <w:t xml:space="preserve"> €</w:t>
      </w:r>
      <w:r w:rsidR="006961F4" w:rsidRPr="00D101C1">
        <w:rPr>
          <w:rFonts w:cs="Arial"/>
          <w:b/>
        </w:rPr>
        <w:t> </w:t>
      </w:r>
      <w:r w:rsidRPr="00D101C1">
        <w:rPr>
          <w:rFonts w:cs="Arial"/>
          <w:b/>
        </w:rPr>
        <w:t>1</w:t>
      </w:r>
      <w:r w:rsidR="00323A53">
        <w:rPr>
          <w:rFonts w:cs="Arial"/>
          <w:b/>
        </w:rPr>
        <w:t xml:space="preserve"> Mio</w:t>
      </w:r>
      <w:r w:rsidRPr="00D101C1">
        <w:rPr>
          <w:rFonts w:cs="Arial"/>
          <w:b/>
        </w:rPr>
        <w:t xml:space="preserve"> pro Wirtschaftsjahr</w:t>
      </w:r>
      <w:r w:rsidRPr="00D101C1">
        <w:rPr>
          <w:rFonts w:cs="Arial"/>
        </w:rPr>
        <w:t xml:space="preserve"> geltend gemacht werden. Gefördert werden generell Aufwendungen (Ausgaben) „zur Forschung und experimentellen Entwicklung“ (dh sowohl Grundlagenforschung als auch angewandte und experimentelle Forschung im Produktions- und Dienstleistungsbereich, zB auch Aufwendungen bzw Ausgaben für bestimmte Softwareentwicklungen und grundlegend neue Marketingmethoden). Die Forschung muss in einem inländischen Betrieb oder einer inländischen Betriebsstätte erfolgen. </w:t>
      </w:r>
    </w:p>
    <w:p w:rsidR="00947C53" w:rsidRDefault="00947C53" w:rsidP="0021359A">
      <w:pPr>
        <w:spacing w:line="276" w:lineRule="auto"/>
        <w:jc w:val="both"/>
        <w:rPr>
          <w:rFonts w:cs="Arial"/>
        </w:rPr>
      </w:pPr>
    </w:p>
    <w:p w:rsidR="00947C53" w:rsidRPr="008F152A" w:rsidRDefault="00947C53" w:rsidP="0021359A">
      <w:pPr>
        <w:shd w:val="clear" w:color="auto" w:fill="FBD4B4" w:themeFill="accent6" w:themeFillTint="66"/>
        <w:spacing w:line="276" w:lineRule="auto"/>
        <w:jc w:val="both"/>
        <w:rPr>
          <w:rFonts w:cs="Arial"/>
        </w:rPr>
      </w:pPr>
      <w:r w:rsidRPr="0057162D">
        <w:rPr>
          <w:rFonts w:cs="Arial"/>
          <w:b/>
        </w:rPr>
        <w:t>TIPP:</w:t>
      </w:r>
      <w:r w:rsidRPr="008F152A">
        <w:rPr>
          <w:rFonts w:cs="Arial"/>
        </w:rPr>
        <w:t xml:space="preserve"> </w:t>
      </w:r>
      <w:r w:rsidR="00EF67AE">
        <w:rPr>
          <w:rFonts w:cs="Arial"/>
        </w:rPr>
        <w:t>Denken Sie daran</w:t>
      </w:r>
      <w:r w:rsidRPr="008F152A">
        <w:rPr>
          <w:rFonts w:cs="Arial"/>
        </w:rPr>
        <w:t xml:space="preserve">, dass Sie ab heuer erstmalig auch </w:t>
      </w:r>
      <w:r w:rsidRPr="0057162D">
        <w:rPr>
          <w:rFonts w:cs="Arial"/>
        </w:rPr>
        <w:t xml:space="preserve">einen </w:t>
      </w:r>
      <w:r w:rsidRPr="0057162D">
        <w:rPr>
          <w:rFonts w:cs="Arial"/>
          <w:b/>
        </w:rPr>
        <w:t>fiktiven Unternehmerlohn</w:t>
      </w:r>
      <w:r w:rsidRPr="0057162D">
        <w:rPr>
          <w:rFonts w:cs="Arial"/>
        </w:rPr>
        <w:t xml:space="preserve"> (als Einzelunternehmer, Mitunternehmer und unentgeltlich tätige Gesellschafter einer Kapitalgesellschaft) für eine nachweislich in Forschung und experimenteller Entwicklung ausgeübte Tätigkeit bei den Forschungsaufwendungen berücksichtigen können. Als fiktiver Unternehmerlohn können </w:t>
      </w:r>
      <w:r w:rsidRPr="0057162D">
        <w:rPr>
          <w:rFonts w:cs="Arial"/>
          <w:b/>
        </w:rPr>
        <w:t>€ 45 pro Stunde</w:t>
      </w:r>
      <w:r w:rsidR="00917BD7" w:rsidRPr="0057162D">
        <w:rPr>
          <w:rFonts w:cs="Arial"/>
          <w:b/>
        </w:rPr>
        <w:t xml:space="preserve"> für</w:t>
      </w:r>
      <w:r w:rsidRPr="0057162D">
        <w:rPr>
          <w:rFonts w:cs="Arial"/>
          <w:b/>
        </w:rPr>
        <w:t xml:space="preserve"> maximal 1.720 Stunden (= € 77.400 pro Person und WJ)</w:t>
      </w:r>
      <w:r w:rsidRPr="0057162D">
        <w:rPr>
          <w:rFonts w:cs="Arial"/>
        </w:rPr>
        <w:t xml:space="preserve"> angesetzt werden</w:t>
      </w:r>
      <w:r w:rsidR="008F152A" w:rsidRPr="0057162D">
        <w:rPr>
          <w:rFonts w:cs="Arial"/>
        </w:rPr>
        <w:t>.</w:t>
      </w:r>
    </w:p>
    <w:p w:rsidR="0058619D" w:rsidRPr="00D101C1" w:rsidRDefault="0058619D" w:rsidP="0021359A">
      <w:pPr>
        <w:spacing w:line="276" w:lineRule="auto"/>
        <w:jc w:val="both"/>
        <w:rPr>
          <w:rFonts w:cs="Arial"/>
        </w:rPr>
      </w:pPr>
    </w:p>
    <w:p w:rsidR="0058619D" w:rsidRPr="00D101C1" w:rsidRDefault="0021359A" w:rsidP="0021359A">
      <w:pPr>
        <w:shd w:val="clear" w:color="auto" w:fill="C6D9F1" w:themeFill="text2" w:themeFillTint="33"/>
        <w:spacing w:line="276" w:lineRule="auto"/>
        <w:jc w:val="both"/>
        <w:rPr>
          <w:rFonts w:cs="Arial"/>
        </w:rPr>
      </w:pPr>
      <w:r>
        <w:rPr>
          <w:rFonts w:cs="Arial"/>
          <w:b/>
        </w:rPr>
        <w:t>Hinweis</w:t>
      </w:r>
      <w:r w:rsidR="00034ADC" w:rsidRPr="002903A7">
        <w:rPr>
          <w:rFonts w:cs="Arial"/>
        </w:rPr>
        <w:t xml:space="preserve">: Für den </w:t>
      </w:r>
      <w:r w:rsidR="00034ADC" w:rsidRPr="002903A7">
        <w:rPr>
          <w:rFonts w:cs="Arial"/>
          <w:b/>
        </w:rPr>
        <w:t>Prämienantrag 20</w:t>
      </w:r>
      <w:r w:rsidR="009547C8" w:rsidRPr="002903A7">
        <w:rPr>
          <w:rFonts w:cs="Arial"/>
          <w:b/>
        </w:rPr>
        <w:t>2</w:t>
      </w:r>
      <w:r w:rsidR="00353828">
        <w:rPr>
          <w:rFonts w:cs="Arial"/>
          <w:b/>
        </w:rPr>
        <w:t>2</w:t>
      </w:r>
      <w:r w:rsidR="00034ADC" w:rsidRPr="002903A7">
        <w:rPr>
          <w:rFonts w:cs="Arial"/>
        </w:rPr>
        <w:t xml:space="preserve"> muss nach Ablauf des Wirtschaftsjahrs elektronisch ein sogenanntes </w:t>
      </w:r>
      <w:r w:rsidR="00034ADC" w:rsidRPr="002903A7">
        <w:rPr>
          <w:rFonts w:cs="Arial"/>
          <w:b/>
        </w:rPr>
        <w:t>Jahresgutachten der Forschungsförderungsgesellschaft (FFG</w:t>
      </w:r>
      <w:r w:rsidR="00034ADC" w:rsidRPr="002903A7">
        <w:rPr>
          <w:rFonts w:cs="Arial"/>
        </w:rPr>
        <w:t xml:space="preserve">) eingeholt werden. Um größere </w:t>
      </w:r>
      <w:r w:rsidR="00034ADC" w:rsidRPr="00D101C1">
        <w:rPr>
          <w:rFonts w:cs="Arial"/>
        </w:rPr>
        <w:t xml:space="preserve">Sicherheit über die steuerliche Anerkennung von Forschungsaufwendungen zu erlangen, besteht die Möglichkeit, im Vorhinein eine bescheidmäßige Bestätigung über die begünstigte Forschung für ein bestimmtes Forschungsprojekt beim Finanzamt zu beantragen. Dafür ist es notwendig, von der FFG ein sogenanntes </w:t>
      </w:r>
      <w:r w:rsidR="00034ADC" w:rsidRPr="00D101C1">
        <w:rPr>
          <w:rFonts w:cs="Arial"/>
          <w:b/>
        </w:rPr>
        <w:t>Projektgutachten</w:t>
      </w:r>
      <w:r w:rsidR="00034ADC" w:rsidRPr="00D101C1">
        <w:rPr>
          <w:rFonts w:cs="Arial"/>
        </w:rPr>
        <w:t xml:space="preserve"> einzuholen.</w:t>
      </w:r>
    </w:p>
    <w:p w:rsidR="00B91056" w:rsidRDefault="00B91056" w:rsidP="00B952A7">
      <w:pPr>
        <w:spacing w:line="276" w:lineRule="auto"/>
        <w:jc w:val="both"/>
        <w:rPr>
          <w:rFonts w:cs="Arial"/>
        </w:rPr>
      </w:pPr>
    </w:p>
    <w:p w:rsidR="0021359A" w:rsidRPr="00D101C1" w:rsidRDefault="0021359A" w:rsidP="00B952A7">
      <w:pPr>
        <w:spacing w:line="276" w:lineRule="auto"/>
        <w:jc w:val="both"/>
        <w:rPr>
          <w:rFonts w:cs="Arial"/>
        </w:rPr>
      </w:pPr>
    </w:p>
    <w:p w:rsidR="00B91056" w:rsidRPr="0021359A" w:rsidRDefault="0021359A" w:rsidP="0021359A">
      <w:pPr>
        <w:pStyle w:val="berschrift1"/>
        <w:rPr>
          <w:color w:val="E36C0A" w:themeColor="accent6" w:themeShade="BF"/>
          <w:sz w:val="24"/>
          <w:szCs w:val="24"/>
          <w:u w:val="none"/>
        </w:rPr>
      </w:pPr>
      <w:bookmarkStart w:id="67" w:name="_Toc116494064"/>
      <w:bookmarkStart w:id="68" w:name="_Toc116923140"/>
      <w:bookmarkStart w:id="69" w:name="_Toc306629716"/>
      <w:bookmarkStart w:id="70" w:name="_Toc306630513"/>
      <w:bookmarkStart w:id="71" w:name="_Toc306632137"/>
      <w:r w:rsidRPr="0021359A">
        <w:rPr>
          <w:color w:val="E36C0A" w:themeColor="accent6" w:themeShade="BF"/>
          <w:sz w:val="24"/>
          <w:szCs w:val="24"/>
          <w:u w:val="none"/>
        </w:rPr>
        <w:t>VORTEILE DER ELEKTROMOBILITÄT</w:t>
      </w:r>
      <w:bookmarkEnd w:id="67"/>
      <w:bookmarkEnd w:id="68"/>
    </w:p>
    <w:p w:rsidR="0013610C" w:rsidRPr="0021359A" w:rsidRDefault="005A1055" w:rsidP="00B952A7">
      <w:pPr>
        <w:spacing w:line="276" w:lineRule="auto"/>
        <w:jc w:val="both"/>
        <w:rPr>
          <w:rFonts w:cs="Arial"/>
        </w:rPr>
      </w:pPr>
      <w:r w:rsidRPr="0021359A">
        <w:rPr>
          <w:rFonts w:cs="Arial"/>
        </w:rPr>
        <w:t xml:space="preserve">Investitionen in die Elektromobilität </w:t>
      </w:r>
      <w:r w:rsidR="00353828" w:rsidRPr="0021359A">
        <w:rPr>
          <w:rFonts w:cs="Arial"/>
        </w:rPr>
        <w:t>sind im Jahr 2022 immer noch steuerlich begünstigt</w:t>
      </w:r>
      <w:r w:rsidR="0013610C" w:rsidRPr="0021359A">
        <w:rPr>
          <w:rFonts w:cs="Arial"/>
        </w:rPr>
        <w:t>.</w:t>
      </w:r>
      <w:r w:rsidR="00353828" w:rsidRPr="0021359A">
        <w:rPr>
          <w:rFonts w:cs="Arial"/>
        </w:rPr>
        <w:t xml:space="preserve"> </w:t>
      </w:r>
      <w:r w:rsidR="00047CB2" w:rsidRPr="0021359A">
        <w:rPr>
          <w:rFonts w:cs="Arial"/>
        </w:rPr>
        <w:t>Trotz</w:t>
      </w:r>
      <w:r w:rsidR="00EE5923" w:rsidRPr="0021359A">
        <w:rPr>
          <w:rFonts w:cs="Arial"/>
        </w:rPr>
        <w:t xml:space="preserve"> </w:t>
      </w:r>
      <w:r w:rsidR="00EF67AE">
        <w:rPr>
          <w:rFonts w:cs="Arial"/>
        </w:rPr>
        <w:t xml:space="preserve">der </w:t>
      </w:r>
      <w:r w:rsidR="00EE5923" w:rsidRPr="0021359A">
        <w:rPr>
          <w:rFonts w:cs="Arial"/>
        </w:rPr>
        <w:t>zum Vorjahr</w:t>
      </w:r>
      <w:r w:rsidR="00047CB2" w:rsidRPr="0021359A">
        <w:rPr>
          <w:rFonts w:cs="Arial"/>
        </w:rPr>
        <w:t xml:space="preserve"> vergleichsweise</w:t>
      </w:r>
      <w:r w:rsidR="00205F5C" w:rsidRPr="0021359A">
        <w:rPr>
          <w:rFonts w:cs="Arial"/>
        </w:rPr>
        <w:t xml:space="preserve"> geringere</w:t>
      </w:r>
      <w:r w:rsidR="00EF67AE">
        <w:rPr>
          <w:rFonts w:cs="Arial"/>
        </w:rPr>
        <w:t>n</w:t>
      </w:r>
      <w:r w:rsidR="00047CB2" w:rsidRPr="0021359A">
        <w:rPr>
          <w:rFonts w:cs="Arial"/>
        </w:rPr>
        <w:t xml:space="preserve"> Förderungen</w:t>
      </w:r>
      <w:r w:rsidR="00353828" w:rsidRPr="0021359A">
        <w:rPr>
          <w:rFonts w:cs="Arial"/>
        </w:rPr>
        <w:t xml:space="preserve"> sind Elektrofahrzeuge steuerlich dem Verbrennungsmotor vorzuziehen.</w:t>
      </w:r>
      <w:r w:rsidR="00663243" w:rsidRPr="0021359A">
        <w:rPr>
          <w:rFonts w:cs="Arial"/>
        </w:rPr>
        <w:t xml:space="preserve"> </w:t>
      </w:r>
      <w:r w:rsidR="0013610C" w:rsidRPr="0021359A">
        <w:rPr>
          <w:rFonts w:cs="Arial"/>
        </w:rPr>
        <w:t xml:space="preserve">Folgende Vorteile </w:t>
      </w:r>
      <w:r w:rsidR="00C5749E" w:rsidRPr="0021359A">
        <w:rPr>
          <w:rFonts w:cs="Arial"/>
        </w:rPr>
        <w:t>können die Elektrofahrzeuge</w:t>
      </w:r>
      <w:r w:rsidR="0013610C" w:rsidRPr="0021359A">
        <w:rPr>
          <w:rFonts w:cs="Arial"/>
        </w:rPr>
        <w:t xml:space="preserve"> (CO</w:t>
      </w:r>
      <w:r w:rsidR="0013610C" w:rsidRPr="0021359A">
        <w:rPr>
          <w:rFonts w:cs="Arial"/>
          <w:vertAlign w:val="subscript"/>
        </w:rPr>
        <w:t>2</w:t>
      </w:r>
      <w:r w:rsidR="0013610C" w:rsidRPr="0021359A">
        <w:rPr>
          <w:rFonts w:cs="Arial"/>
        </w:rPr>
        <w:t>-Emissionswert von 0</w:t>
      </w:r>
      <w:r w:rsidR="007D342E" w:rsidRPr="0021359A">
        <w:rPr>
          <w:rFonts w:cs="Arial"/>
        </w:rPr>
        <w:t xml:space="preserve"> </w:t>
      </w:r>
      <w:r w:rsidR="0013610C" w:rsidRPr="0021359A">
        <w:rPr>
          <w:rFonts w:cs="Arial"/>
        </w:rPr>
        <w:t xml:space="preserve">g/km) gegenüber den herkömmlichen </w:t>
      </w:r>
      <w:r w:rsidR="00C5749E" w:rsidRPr="0021359A">
        <w:rPr>
          <w:rFonts w:cs="Arial"/>
        </w:rPr>
        <w:t xml:space="preserve">mit </w:t>
      </w:r>
      <w:r w:rsidR="0013610C" w:rsidRPr="0021359A">
        <w:rPr>
          <w:rFonts w:cs="Arial"/>
        </w:rPr>
        <w:t xml:space="preserve">Verbrennungsmotoren </w:t>
      </w:r>
      <w:r w:rsidR="00C5749E" w:rsidRPr="0021359A">
        <w:rPr>
          <w:rFonts w:cs="Arial"/>
        </w:rPr>
        <w:t xml:space="preserve">betriebenen Fahrzeugen </w:t>
      </w:r>
      <w:r w:rsidR="00205F5C" w:rsidRPr="0021359A">
        <w:rPr>
          <w:rFonts w:cs="Arial"/>
        </w:rPr>
        <w:t>für sich</w:t>
      </w:r>
      <w:r w:rsidR="0013610C" w:rsidRPr="0021359A">
        <w:rPr>
          <w:rFonts w:cs="Arial"/>
        </w:rPr>
        <w:t xml:space="preserve"> verbuchen: </w:t>
      </w:r>
    </w:p>
    <w:p w:rsidR="00A02B05" w:rsidRPr="00205F5C" w:rsidRDefault="0013610C" w:rsidP="007A7F65">
      <w:pPr>
        <w:pStyle w:val="Listenabsatz"/>
        <w:numPr>
          <w:ilvl w:val="0"/>
          <w:numId w:val="23"/>
        </w:numPr>
        <w:spacing w:line="276" w:lineRule="auto"/>
        <w:ind w:left="567" w:hanging="283"/>
        <w:jc w:val="both"/>
        <w:rPr>
          <w:rFonts w:cs="Arial"/>
        </w:rPr>
      </w:pPr>
      <w:r w:rsidRPr="0021359A">
        <w:rPr>
          <w:rFonts w:cs="Arial"/>
          <w:b/>
        </w:rPr>
        <w:t>Vorsteuerabzugsfähigkeit</w:t>
      </w:r>
      <w:r w:rsidRPr="0021359A">
        <w:rPr>
          <w:rFonts w:cs="Arial"/>
        </w:rPr>
        <w:t>:</w:t>
      </w:r>
      <w:r w:rsidR="00B91056" w:rsidRPr="0021359A">
        <w:rPr>
          <w:rFonts w:cs="Arial"/>
        </w:rPr>
        <w:t xml:space="preserve"> Der volle Vorsteuerabzug steht allerdings </w:t>
      </w:r>
      <w:r w:rsidR="00B91056" w:rsidRPr="00205F5C">
        <w:rPr>
          <w:rFonts w:cs="Arial"/>
        </w:rPr>
        <w:t xml:space="preserve">nur bei Anschaffungskosten </w:t>
      </w:r>
      <w:r w:rsidRPr="00205F5C">
        <w:rPr>
          <w:rFonts w:cs="Arial"/>
        </w:rPr>
        <w:t xml:space="preserve">des PKW bzw des Kraftrads </w:t>
      </w:r>
      <w:r w:rsidR="00B91056" w:rsidRPr="00205F5C">
        <w:rPr>
          <w:rFonts w:cs="Arial"/>
        </w:rPr>
        <w:t>bis maximal € 40.000 brutto zu. Zwischen € 40.000 und € 80.000 brutto gibt es einen aliquoten Vorsteuerabzug. Ko</w:t>
      </w:r>
      <w:r w:rsidR="0040382F" w:rsidRPr="00205F5C">
        <w:rPr>
          <w:rFonts w:cs="Arial"/>
        </w:rPr>
        <w:t>stet das Elektroauto mehr als € </w:t>
      </w:r>
      <w:r w:rsidR="00B91056" w:rsidRPr="00205F5C">
        <w:rPr>
          <w:rFonts w:cs="Arial"/>
        </w:rPr>
        <w:t>80.000 brutto, so steht kein Vorsteuerabzug zu</w:t>
      </w:r>
      <w:r w:rsidR="00E97FF2" w:rsidRPr="00205F5C">
        <w:rPr>
          <w:rFonts w:cs="Arial"/>
        </w:rPr>
        <w:t xml:space="preserve">. </w:t>
      </w:r>
    </w:p>
    <w:p w:rsidR="00A02B05" w:rsidRDefault="00E97FF2" w:rsidP="007A7F65">
      <w:pPr>
        <w:pStyle w:val="Listenabsatz"/>
        <w:numPr>
          <w:ilvl w:val="0"/>
          <w:numId w:val="23"/>
        </w:numPr>
        <w:spacing w:line="276" w:lineRule="auto"/>
        <w:ind w:left="567" w:hanging="283"/>
        <w:jc w:val="both"/>
        <w:rPr>
          <w:rFonts w:cs="Arial"/>
        </w:rPr>
      </w:pPr>
      <w:r w:rsidRPr="0021388D">
        <w:rPr>
          <w:rFonts w:cs="Arial"/>
          <w:b/>
          <w:bCs/>
          <w:shd w:val="clear" w:color="auto" w:fill="C6D9F1" w:themeFill="text2" w:themeFillTint="33"/>
        </w:rPr>
        <w:t>Achtung</w:t>
      </w:r>
      <w:r w:rsidRPr="0021388D">
        <w:rPr>
          <w:rFonts w:cs="Arial"/>
          <w:shd w:val="clear" w:color="auto" w:fill="C6D9F1" w:themeFill="text2" w:themeFillTint="33"/>
        </w:rPr>
        <w:t>: Hybridfahrzeuge sind nicht von den Begünstigungen der reinen Elektroautos umfasst.</w:t>
      </w:r>
      <w:r w:rsidR="00C93374">
        <w:rPr>
          <w:rFonts w:cs="Arial"/>
        </w:rPr>
        <w:t xml:space="preserve"> </w:t>
      </w:r>
    </w:p>
    <w:p w:rsidR="00B91056" w:rsidRDefault="00C93374" w:rsidP="007A7F65">
      <w:pPr>
        <w:pStyle w:val="Listenabsatz"/>
        <w:numPr>
          <w:ilvl w:val="0"/>
          <w:numId w:val="23"/>
        </w:numPr>
        <w:spacing w:line="276" w:lineRule="auto"/>
        <w:ind w:left="567" w:hanging="283"/>
        <w:jc w:val="both"/>
        <w:rPr>
          <w:rFonts w:cs="Arial"/>
        </w:rPr>
      </w:pPr>
      <w:r>
        <w:rPr>
          <w:rFonts w:cs="Arial"/>
        </w:rPr>
        <w:t>Die laufenden Kosten wie z</w:t>
      </w:r>
      <w:r w:rsidR="00C5749E">
        <w:rPr>
          <w:rFonts w:cs="Arial"/>
        </w:rPr>
        <w:t>B</w:t>
      </w:r>
      <w:r>
        <w:rPr>
          <w:rFonts w:cs="Arial"/>
        </w:rPr>
        <w:t xml:space="preserve"> Stromkosten und die Kosten für Stromabgabestellen sind unabhängig von den Anschaffungskosten voll vorsteuerabzugsfähig.</w:t>
      </w:r>
    </w:p>
    <w:p w:rsidR="00D04033" w:rsidRPr="00205F5C" w:rsidRDefault="00C93374" w:rsidP="007A7F65">
      <w:pPr>
        <w:pStyle w:val="Listenabsatz"/>
        <w:numPr>
          <w:ilvl w:val="0"/>
          <w:numId w:val="23"/>
        </w:numPr>
        <w:spacing w:line="276" w:lineRule="auto"/>
        <w:ind w:left="567" w:hanging="283"/>
        <w:jc w:val="both"/>
        <w:rPr>
          <w:rFonts w:cs="Arial"/>
          <w:b/>
        </w:rPr>
      </w:pPr>
      <w:r w:rsidRPr="00205F5C">
        <w:rPr>
          <w:rFonts w:cs="Arial"/>
          <w:b/>
        </w:rPr>
        <w:t xml:space="preserve">E-Mobilitätsförderung: </w:t>
      </w:r>
      <w:r w:rsidRPr="00205F5C">
        <w:rPr>
          <w:rFonts w:cs="Arial"/>
        </w:rPr>
        <w:t>Im Jahr 202</w:t>
      </w:r>
      <w:r w:rsidR="00047CB2" w:rsidRPr="00205F5C">
        <w:rPr>
          <w:rFonts w:cs="Arial"/>
        </w:rPr>
        <w:t>2</w:t>
      </w:r>
      <w:r w:rsidRPr="00205F5C">
        <w:rPr>
          <w:rFonts w:cs="Arial"/>
        </w:rPr>
        <w:t xml:space="preserve"> wird die Anschaffung von Elektro-PKW für Betriebe mit insgesamt € </w:t>
      </w:r>
      <w:r w:rsidR="00047CB2" w:rsidRPr="00205F5C">
        <w:rPr>
          <w:rFonts w:cs="Arial"/>
        </w:rPr>
        <w:t>2</w:t>
      </w:r>
      <w:r w:rsidRPr="00205F5C">
        <w:rPr>
          <w:rFonts w:cs="Arial"/>
        </w:rPr>
        <w:t xml:space="preserve">.000 gefördert (€ </w:t>
      </w:r>
      <w:r w:rsidR="00047CB2" w:rsidRPr="00205F5C">
        <w:rPr>
          <w:rFonts w:cs="Arial"/>
        </w:rPr>
        <w:t>1</w:t>
      </w:r>
      <w:r w:rsidRPr="00205F5C">
        <w:rPr>
          <w:rFonts w:cs="Arial"/>
        </w:rPr>
        <w:t xml:space="preserve">.000 zu beantragen und € </w:t>
      </w:r>
      <w:r w:rsidR="00047CB2" w:rsidRPr="00205F5C">
        <w:rPr>
          <w:rFonts w:cs="Arial"/>
        </w:rPr>
        <w:t>1</w:t>
      </w:r>
      <w:r w:rsidRPr="00205F5C">
        <w:rPr>
          <w:rFonts w:cs="Arial"/>
        </w:rPr>
        <w:t>.000 direkt beim Händler). Für Private beträgt die Förderung nach wie vor insgesamt € 5.000</w:t>
      </w:r>
      <w:r w:rsidR="00EF67AE">
        <w:rPr>
          <w:rFonts w:cs="Arial"/>
        </w:rPr>
        <w:t>.</w:t>
      </w:r>
      <w:r w:rsidRPr="00205F5C">
        <w:rPr>
          <w:rFonts w:cs="Arial"/>
        </w:rPr>
        <w:t xml:space="preserve"> Hybridfahrzeuge und Elektrokrafträder werden ebenfalls gefördert, jedoch in einem geringeren Ausmaß. </w:t>
      </w:r>
      <w:r w:rsidR="00C5749E" w:rsidRPr="00205F5C">
        <w:rPr>
          <w:rFonts w:cs="Arial"/>
        </w:rPr>
        <w:t xml:space="preserve">Des Weiteren wird die E-Ladeinfrastruktur (zB Wallbox, intelligente Ladekabel) ebenfalls gefördert. </w:t>
      </w:r>
    </w:p>
    <w:p w:rsidR="00C5749E" w:rsidRPr="007A7F65" w:rsidRDefault="00C5749E" w:rsidP="007A7F65">
      <w:pPr>
        <w:shd w:val="clear" w:color="auto" w:fill="C6D9F1" w:themeFill="text2" w:themeFillTint="33"/>
        <w:spacing w:line="276" w:lineRule="auto"/>
        <w:ind w:left="567"/>
        <w:jc w:val="both"/>
        <w:rPr>
          <w:rFonts w:cs="Arial"/>
        </w:rPr>
      </w:pPr>
      <w:r w:rsidRPr="007A7F65">
        <w:rPr>
          <w:rFonts w:cs="Arial"/>
          <w:b/>
        </w:rPr>
        <w:t xml:space="preserve">Achtung: </w:t>
      </w:r>
      <w:r w:rsidRPr="007A7F65">
        <w:rPr>
          <w:rFonts w:cs="Arial"/>
        </w:rPr>
        <w:t>Die E-Mobilitätsförderung wird nur gewährt, wenn der Brutto-Listenpreis (Basismodell ohne Sonderausstattung) des PKW € 60.000</w:t>
      </w:r>
      <w:r w:rsidR="00A02B05" w:rsidRPr="007A7F65">
        <w:rPr>
          <w:rFonts w:cs="Arial"/>
        </w:rPr>
        <w:t xml:space="preserve"> </w:t>
      </w:r>
      <w:r w:rsidRPr="007A7F65">
        <w:rPr>
          <w:rFonts w:cs="Arial"/>
        </w:rPr>
        <w:t>nicht überschreitet.</w:t>
      </w:r>
      <w:r w:rsidRPr="007A7F65">
        <w:rPr>
          <w:rFonts w:cs="Arial"/>
          <w:b/>
          <w:bCs/>
        </w:rPr>
        <w:t xml:space="preserve"> </w:t>
      </w:r>
    </w:p>
    <w:p w:rsidR="00C5749E" w:rsidRPr="00C5749E" w:rsidRDefault="00C5749E" w:rsidP="007A7F65">
      <w:pPr>
        <w:pStyle w:val="Listenabsatz"/>
        <w:numPr>
          <w:ilvl w:val="0"/>
          <w:numId w:val="23"/>
        </w:numPr>
        <w:spacing w:line="276" w:lineRule="auto"/>
        <w:ind w:left="567" w:hanging="283"/>
        <w:jc w:val="both"/>
        <w:rPr>
          <w:rFonts w:cs="Arial"/>
          <w:b/>
        </w:rPr>
      </w:pPr>
      <w:r>
        <w:rPr>
          <w:rFonts w:cs="Arial"/>
          <w:b/>
        </w:rPr>
        <w:t xml:space="preserve">degressive Abschreibung: </w:t>
      </w:r>
      <w:r>
        <w:rPr>
          <w:rFonts w:cs="Arial"/>
        </w:rPr>
        <w:t>Elektrofahrzeuge mit einem Emissionswert von 0 g/km genießen die Vorteile der degressiven Abschreibung (siehe Punkt 1.1)</w:t>
      </w:r>
    </w:p>
    <w:p w:rsidR="00C5749E" w:rsidRPr="00C5749E" w:rsidRDefault="00C5749E" w:rsidP="007A7F65">
      <w:pPr>
        <w:pStyle w:val="Listenabsatz"/>
        <w:numPr>
          <w:ilvl w:val="0"/>
          <w:numId w:val="23"/>
        </w:numPr>
        <w:spacing w:line="276" w:lineRule="auto"/>
        <w:ind w:left="567" w:hanging="283"/>
        <w:jc w:val="both"/>
        <w:rPr>
          <w:rFonts w:cs="Arial"/>
          <w:b/>
        </w:rPr>
      </w:pPr>
      <w:r>
        <w:rPr>
          <w:rFonts w:cs="Arial"/>
          <w:b/>
        </w:rPr>
        <w:t xml:space="preserve">keine NoVA: </w:t>
      </w:r>
      <w:r w:rsidR="00EF67AE">
        <w:rPr>
          <w:rFonts w:cs="Arial"/>
        </w:rPr>
        <w:t>d</w:t>
      </w:r>
      <w:r>
        <w:rPr>
          <w:rFonts w:cs="Arial"/>
        </w:rPr>
        <w:t>a die NoVA anhand des CO2-Ausstoßes berechnet wird, sind Elektrofahrzeuge mit einem Emissionswert von 0 g/km gänzlich davon befreit.</w:t>
      </w:r>
    </w:p>
    <w:p w:rsidR="00C5749E" w:rsidRPr="00C5749E" w:rsidRDefault="00C5749E" w:rsidP="007A7F65">
      <w:pPr>
        <w:pStyle w:val="Listenabsatz"/>
        <w:numPr>
          <w:ilvl w:val="0"/>
          <w:numId w:val="23"/>
        </w:numPr>
        <w:spacing w:line="276" w:lineRule="auto"/>
        <w:ind w:left="567" w:hanging="283"/>
        <w:jc w:val="both"/>
        <w:rPr>
          <w:rFonts w:cs="Arial"/>
          <w:b/>
        </w:rPr>
      </w:pPr>
      <w:r>
        <w:rPr>
          <w:rFonts w:cs="Arial"/>
          <w:b/>
        </w:rPr>
        <w:t xml:space="preserve">kein Sachbezug: </w:t>
      </w:r>
      <w:r w:rsidR="00EF67AE">
        <w:rPr>
          <w:rFonts w:cs="Arial"/>
        </w:rPr>
        <w:t>f</w:t>
      </w:r>
      <w:r>
        <w:rPr>
          <w:rFonts w:cs="Arial"/>
        </w:rPr>
        <w:t>ür Mitarbeiter, die das arbeitgebereigene Elektroauto privat nutzen dürfen, fällt kein Sachbezug an.</w:t>
      </w:r>
    </w:p>
    <w:p w:rsidR="00C5749E" w:rsidRPr="00047CB2" w:rsidRDefault="00C5749E" w:rsidP="007A7F65">
      <w:pPr>
        <w:pStyle w:val="Listenabsatz"/>
        <w:numPr>
          <w:ilvl w:val="0"/>
          <w:numId w:val="23"/>
        </w:numPr>
        <w:spacing w:line="276" w:lineRule="auto"/>
        <w:ind w:left="567" w:hanging="283"/>
        <w:jc w:val="both"/>
        <w:rPr>
          <w:rFonts w:cs="Arial"/>
          <w:b/>
        </w:rPr>
      </w:pPr>
      <w:r>
        <w:rPr>
          <w:rFonts w:cs="Arial"/>
          <w:b/>
        </w:rPr>
        <w:t xml:space="preserve">keine motorbezogene Versicherungssteuer: </w:t>
      </w:r>
      <w:r>
        <w:rPr>
          <w:rFonts w:cs="Arial"/>
        </w:rPr>
        <w:t xml:space="preserve">reine Elektrofahrzeuge sind von der </w:t>
      </w:r>
      <w:r w:rsidR="00134F2B">
        <w:rPr>
          <w:rFonts w:cs="Arial"/>
        </w:rPr>
        <w:t>motorbezogenen Versicherungssteuer gänzlich befreit.</w:t>
      </w:r>
    </w:p>
    <w:p w:rsidR="00047CB2" w:rsidRDefault="00047CB2" w:rsidP="00047CB2">
      <w:pPr>
        <w:spacing w:line="276" w:lineRule="auto"/>
        <w:jc w:val="both"/>
        <w:rPr>
          <w:rFonts w:cs="Arial"/>
          <w:b/>
        </w:rPr>
      </w:pPr>
    </w:p>
    <w:p w:rsidR="00047CB2" w:rsidRPr="00EE4F1D" w:rsidRDefault="00205F5C" w:rsidP="00205F5C">
      <w:pPr>
        <w:shd w:val="clear" w:color="auto" w:fill="FBD4B4" w:themeFill="accent6" w:themeFillTint="66"/>
        <w:spacing w:line="276" w:lineRule="auto"/>
        <w:jc w:val="both"/>
        <w:rPr>
          <w:rFonts w:cs="Arial"/>
        </w:rPr>
      </w:pPr>
      <w:r w:rsidRPr="00205F5C">
        <w:rPr>
          <w:rFonts w:cs="Arial"/>
          <w:b/>
          <w:bCs/>
        </w:rPr>
        <w:t>TIPP</w:t>
      </w:r>
      <w:r>
        <w:rPr>
          <w:rFonts w:cs="Arial"/>
        </w:rPr>
        <w:t xml:space="preserve">: </w:t>
      </w:r>
      <w:r w:rsidR="00917BD7">
        <w:rPr>
          <w:rFonts w:cs="Arial"/>
        </w:rPr>
        <w:t xml:space="preserve">Für ab dem 1.1.2023 angeschaffte </w:t>
      </w:r>
      <w:r w:rsidR="00047CB2">
        <w:rPr>
          <w:rFonts w:cs="Arial"/>
        </w:rPr>
        <w:t>Elektrofahrzeuge</w:t>
      </w:r>
      <w:r>
        <w:rPr>
          <w:rFonts w:cs="Arial"/>
        </w:rPr>
        <w:t xml:space="preserve"> </w:t>
      </w:r>
      <w:r w:rsidR="00917BD7">
        <w:rPr>
          <w:rFonts w:cs="Arial"/>
        </w:rPr>
        <w:t xml:space="preserve">kann ein </w:t>
      </w:r>
      <w:r w:rsidR="00047CB2">
        <w:rPr>
          <w:rFonts w:cs="Arial"/>
        </w:rPr>
        <w:t>Investitionsfreibetrag</w:t>
      </w:r>
      <w:r w:rsidR="00917BD7">
        <w:rPr>
          <w:rFonts w:cs="Arial"/>
        </w:rPr>
        <w:t xml:space="preserve"> gelten gemacht werden. </w:t>
      </w:r>
      <w:r w:rsidR="00047CB2">
        <w:rPr>
          <w:rFonts w:cs="Arial"/>
        </w:rPr>
        <w:t xml:space="preserve">Es ist daher zu überlegen, die </w:t>
      </w:r>
      <w:r w:rsidR="00047CB2" w:rsidRPr="00EE4F1D">
        <w:rPr>
          <w:rFonts w:cs="Arial"/>
          <w:b/>
        </w:rPr>
        <w:t>Anschaffung eines Elektrofahrzeugs in das Jahr 2023 zu verschieben</w:t>
      </w:r>
      <w:r w:rsidR="00047CB2" w:rsidRPr="00EE4F1D">
        <w:rPr>
          <w:rFonts w:cs="Arial"/>
        </w:rPr>
        <w:t xml:space="preserve">, um den erhöhten Investitionsfreibetrags (15%) zu erhalten. </w:t>
      </w:r>
    </w:p>
    <w:p w:rsidR="00B91056" w:rsidRPr="00EE4F1D" w:rsidRDefault="00B91056" w:rsidP="00B952A7">
      <w:pPr>
        <w:spacing w:line="276" w:lineRule="auto"/>
        <w:rPr>
          <w:rFonts w:cs="Arial"/>
        </w:rPr>
      </w:pPr>
    </w:p>
    <w:p w:rsidR="0021359A" w:rsidRPr="00D101C1" w:rsidRDefault="0021359A" w:rsidP="00B952A7">
      <w:pPr>
        <w:spacing w:line="276" w:lineRule="auto"/>
        <w:rPr>
          <w:rFonts w:cs="Arial"/>
        </w:rPr>
      </w:pPr>
    </w:p>
    <w:p w:rsidR="00B91056" w:rsidRPr="0021359A" w:rsidRDefault="0021359A" w:rsidP="00EE4F1D">
      <w:pPr>
        <w:pStyle w:val="berschrift1"/>
        <w:spacing w:line="276" w:lineRule="auto"/>
        <w:rPr>
          <w:color w:val="E36C0A" w:themeColor="accent6" w:themeShade="BF"/>
          <w:sz w:val="24"/>
          <w:szCs w:val="24"/>
          <w:u w:val="none"/>
        </w:rPr>
      </w:pPr>
      <w:bookmarkStart w:id="72" w:name="_Toc116494065"/>
      <w:bookmarkStart w:id="73" w:name="_Toc116923141"/>
      <w:r w:rsidRPr="0021359A">
        <w:rPr>
          <w:color w:val="E36C0A" w:themeColor="accent6" w:themeShade="BF"/>
          <w:sz w:val="24"/>
          <w:szCs w:val="24"/>
          <w:u w:val="none"/>
        </w:rPr>
        <w:t>WERTPAPIERDECKUNG FÜR PENSIONSRÜCKSTELLUNG</w:t>
      </w:r>
      <w:bookmarkEnd w:id="69"/>
      <w:bookmarkEnd w:id="70"/>
      <w:bookmarkEnd w:id="71"/>
      <w:bookmarkEnd w:id="72"/>
      <w:bookmarkEnd w:id="73"/>
    </w:p>
    <w:p w:rsidR="00B91056" w:rsidRPr="00D101C1" w:rsidRDefault="00B91056" w:rsidP="00EE4F1D">
      <w:pPr>
        <w:spacing w:line="276" w:lineRule="auto"/>
        <w:jc w:val="both"/>
        <w:rPr>
          <w:rFonts w:cs="Arial"/>
        </w:rPr>
      </w:pPr>
      <w:bookmarkStart w:id="74" w:name="_Toc306629717"/>
      <w:bookmarkStart w:id="75" w:name="_Toc306630514"/>
      <w:bookmarkStart w:id="76" w:name="_Toc306631863"/>
      <w:bookmarkStart w:id="77" w:name="_Toc306632138"/>
      <w:bookmarkStart w:id="78" w:name="_Toc306693563"/>
      <w:bookmarkStart w:id="79" w:name="_Hlk117007276"/>
      <w:r w:rsidRPr="00D101C1">
        <w:rPr>
          <w:rFonts w:cs="Arial"/>
        </w:rPr>
        <w:t xml:space="preserve">Am Schluss eines jeden Wirtschaftsjahres müssen </w:t>
      </w:r>
      <w:r w:rsidRPr="00D101C1">
        <w:rPr>
          <w:rFonts w:cs="Arial"/>
          <w:b/>
        </w:rPr>
        <w:t>Wertpapiere</w:t>
      </w:r>
      <w:r w:rsidRPr="00D101C1">
        <w:rPr>
          <w:rFonts w:cs="Arial"/>
        </w:rPr>
        <w:t xml:space="preserve"> im Nennbetrag von mindestens </w:t>
      </w:r>
      <w:r w:rsidRPr="00D101C1">
        <w:rPr>
          <w:rFonts w:cs="Arial"/>
          <w:b/>
        </w:rPr>
        <w:t xml:space="preserve">50% des am Schluss des vorangegangenen </w:t>
      </w:r>
      <w:r w:rsidRPr="00D101C1">
        <w:rPr>
          <w:rFonts w:cs="Arial"/>
        </w:rPr>
        <w:t>Wirtschaftsjahres ausgewiesenen</w:t>
      </w:r>
      <w:r w:rsidRPr="00D101C1">
        <w:rPr>
          <w:rFonts w:cs="Arial"/>
          <w:b/>
        </w:rPr>
        <w:t xml:space="preserve"> steuerlichen Pensionsrückstellungsbetrages </w:t>
      </w:r>
      <w:r w:rsidRPr="00D101C1">
        <w:rPr>
          <w:rFonts w:cs="Arial"/>
        </w:rPr>
        <w:t xml:space="preserve">im Betriebsvermögen vorhanden sein. Auf das </w:t>
      </w:r>
      <w:r w:rsidR="00732130" w:rsidRPr="00D101C1">
        <w:rPr>
          <w:rFonts w:cs="Arial"/>
        </w:rPr>
        <w:t>Deckungserfordernis</w:t>
      </w:r>
      <w:r w:rsidRPr="00D101C1">
        <w:rPr>
          <w:rFonts w:cs="Arial"/>
        </w:rPr>
        <w:t xml:space="preserve"> können auch </w:t>
      </w:r>
      <w:r w:rsidRPr="00D101C1">
        <w:rPr>
          <w:rFonts w:cs="Arial"/>
          <w:b/>
        </w:rPr>
        <w:t>Ansprüche aus einer</w:t>
      </w:r>
      <w:r w:rsidRPr="00D101C1">
        <w:rPr>
          <w:rFonts w:cs="Arial"/>
        </w:rPr>
        <w:t xml:space="preserve"> </w:t>
      </w:r>
      <w:r w:rsidRPr="00D101C1">
        <w:rPr>
          <w:rFonts w:cs="Arial"/>
          <w:b/>
        </w:rPr>
        <w:t>Rückdeckungsversicherung</w:t>
      </w:r>
      <w:r w:rsidRPr="00D101C1">
        <w:rPr>
          <w:rFonts w:cs="Arial"/>
        </w:rPr>
        <w:t xml:space="preserve"> angerechnet werden. Beträgt die erforderliche Wertpapierdeckung </w:t>
      </w:r>
      <w:r w:rsidRPr="00D101C1">
        <w:rPr>
          <w:rFonts w:cs="Arial"/>
          <w:b/>
        </w:rPr>
        <w:t>auch nur vorübergehend weniger</w:t>
      </w:r>
      <w:r w:rsidRPr="00D101C1">
        <w:rPr>
          <w:rFonts w:cs="Arial"/>
        </w:rPr>
        <w:t xml:space="preserve"> als die erforderlichen 50% der Rückstellung, so ist als Strafe der </w:t>
      </w:r>
      <w:r w:rsidRPr="00D101C1">
        <w:rPr>
          <w:rFonts w:cs="Arial"/>
          <w:b/>
        </w:rPr>
        <w:t>Gewinn um 30%</w:t>
      </w:r>
      <w:r w:rsidRPr="00D101C1">
        <w:rPr>
          <w:rFonts w:cs="Arial"/>
        </w:rPr>
        <w:t xml:space="preserve"> der Wertpapierunterdeckung zu </w:t>
      </w:r>
      <w:r w:rsidRPr="00D101C1">
        <w:rPr>
          <w:rFonts w:cs="Arial"/>
          <w:b/>
        </w:rPr>
        <w:t>erhöhen</w:t>
      </w:r>
      <w:r w:rsidRPr="00D101C1">
        <w:rPr>
          <w:rFonts w:cs="Arial"/>
        </w:rPr>
        <w:t xml:space="preserve"> (ausgenommen in dem Ausmaß, in dem die Rückstellung infolge Absinkens der Pensionsansprüche am Ende des Jahres nicht mehr ausgewiesen wird oder getilgte Wertpapiere binnen 2 Monaten ersetzt werden).</w:t>
      </w:r>
      <w:bookmarkEnd w:id="74"/>
      <w:bookmarkEnd w:id="75"/>
      <w:bookmarkEnd w:id="76"/>
      <w:bookmarkEnd w:id="77"/>
      <w:bookmarkEnd w:id="78"/>
      <w:r w:rsidRPr="00D101C1">
        <w:rPr>
          <w:rFonts w:cs="Arial"/>
        </w:rPr>
        <w:t xml:space="preserve"> </w:t>
      </w:r>
    </w:p>
    <w:p w:rsidR="001F7760" w:rsidRDefault="00B91056" w:rsidP="0021359A">
      <w:pPr>
        <w:spacing w:line="276" w:lineRule="auto"/>
        <w:jc w:val="both"/>
        <w:rPr>
          <w:rFonts w:cs="Arial"/>
        </w:rPr>
      </w:pPr>
      <w:bookmarkStart w:id="80" w:name="_Toc306629718"/>
      <w:bookmarkStart w:id="81" w:name="_Toc306630515"/>
      <w:bookmarkStart w:id="82" w:name="_Toc306631864"/>
      <w:bookmarkStart w:id="83" w:name="_Toc306632139"/>
      <w:bookmarkStart w:id="84" w:name="_Toc306693564"/>
      <w:r w:rsidRPr="00D101C1">
        <w:rPr>
          <w:rFonts w:cs="Arial"/>
        </w:rPr>
        <w:t xml:space="preserve">Als </w:t>
      </w:r>
      <w:r w:rsidRPr="00D101C1">
        <w:rPr>
          <w:rFonts w:cs="Arial"/>
          <w:b/>
        </w:rPr>
        <w:t>deckungsfähige</w:t>
      </w:r>
      <w:r w:rsidRPr="00D101C1">
        <w:rPr>
          <w:rFonts w:cs="Arial"/>
        </w:rPr>
        <w:t xml:space="preserve"> </w:t>
      </w:r>
      <w:r w:rsidRPr="00D101C1">
        <w:rPr>
          <w:rFonts w:cs="Arial"/>
          <w:b/>
        </w:rPr>
        <w:t>Wertpapiere</w:t>
      </w:r>
      <w:r w:rsidRPr="00D101C1">
        <w:rPr>
          <w:rFonts w:cs="Arial"/>
        </w:rPr>
        <w:t xml:space="preserve"> gelten vor allem in Euro begebene Anleihen und Anleihenfonds (wobei neben Anleihen österreichischer Schuldner auch Anleihen von in einem EU- bzw EWR-Mitgliedstaat ansässigen Schuldnern zulässig sind), weiter auch inländische Immobilienfonds sowie ausländische offene Immobilienfonds mit Sitz in einem EU- bzw EWR-Staat.</w:t>
      </w:r>
      <w:bookmarkEnd w:id="80"/>
      <w:bookmarkEnd w:id="81"/>
      <w:bookmarkEnd w:id="82"/>
      <w:bookmarkEnd w:id="83"/>
      <w:bookmarkEnd w:id="84"/>
      <w:r w:rsidRPr="00D101C1">
        <w:rPr>
          <w:rFonts w:cs="Arial"/>
        </w:rPr>
        <w:t xml:space="preserve"> Die Wertpapiere dürfen nicht verpfändet werden. </w:t>
      </w:r>
      <w:bookmarkStart w:id="85" w:name="_Toc306629719"/>
      <w:bookmarkStart w:id="86" w:name="_Toc306630516"/>
      <w:bookmarkStart w:id="87" w:name="_Toc306632140"/>
    </w:p>
    <w:bookmarkEnd w:id="79"/>
    <w:p w:rsidR="0021359A" w:rsidRDefault="0021359A" w:rsidP="0021359A">
      <w:pPr>
        <w:spacing w:line="276" w:lineRule="auto"/>
        <w:jc w:val="both"/>
        <w:rPr>
          <w:rFonts w:cs="Arial"/>
          <w:b/>
          <w:bCs/>
        </w:rPr>
      </w:pPr>
    </w:p>
    <w:p w:rsidR="0021359A" w:rsidRPr="00D101C1" w:rsidRDefault="0021359A" w:rsidP="00B952A7">
      <w:pPr>
        <w:spacing w:line="276" w:lineRule="auto"/>
        <w:rPr>
          <w:rFonts w:cs="Arial"/>
          <w:b/>
          <w:bCs/>
        </w:rPr>
      </w:pPr>
    </w:p>
    <w:p w:rsidR="00263936" w:rsidRPr="0021359A" w:rsidRDefault="0021359A" w:rsidP="00EE4F1D">
      <w:pPr>
        <w:pStyle w:val="berschrift1"/>
        <w:spacing w:line="276" w:lineRule="auto"/>
        <w:rPr>
          <w:color w:val="E36C0A" w:themeColor="accent6" w:themeShade="BF"/>
          <w:sz w:val="24"/>
          <w:szCs w:val="24"/>
          <w:u w:val="none"/>
        </w:rPr>
      </w:pPr>
      <w:bookmarkStart w:id="88" w:name="_Toc116494066"/>
      <w:bookmarkStart w:id="89" w:name="_Toc116923142"/>
      <w:r w:rsidRPr="0021359A">
        <w:rPr>
          <w:color w:val="E36C0A" w:themeColor="accent6" w:themeShade="BF"/>
          <w:sz w:val="24"/>
          <w:szCs w:val="24"/>
          <w:u w:val="none"/>
        </w:rPr>
        <w:t>TIPPS FÜR KLEINUNTERNEHMER</w:t>
      </w:r>
      <w:bookmarkStart w:id="90" w:name="_Toc306629720"/>
      <w:bookmarkStart w:id="91" w:name="_Toc306630517"/>
      <w:bookmarkStart w:id="92" w:name="_Toc306631866"/>
      <w:bookmarkStart w:id="93" w:name="_Toc306632141"/>
      <w:bookmarkStart w:id="94" w:name="_Toc306693566"/>
      <w:bookmarkEnd w:id="85"/>
      <w:bookmarkEnd w:id="86"/>
      <w:bookmarkEnd w:id="87"/>
      <w:bookmarkEnd w:id="88"/>
      <w:bookmarkEnd w:id="89"/>
    </w:p>
    <w:p w:rsidR="008A7957" w:rsidRPr="00EE5923" w:rsidRDefault="00EE5923" w:rsidP="005349C1">
      <w:pPr>
        <w:pStyle w:val="berschrift2"/>
        <w:numPr>
          <w:ilvl w:val="1"/>
          <w:numId w:val="16"/>
        </w:numPr>
        <w:spacing w:line="276" w:lineRule="auto"/>
        <w:ind w:left="567" w:hanging="567"/>
      </w:pPr>
      <w:bookmarkStart w:id="95" w:name="_Toc116494067"/>
      <w:r w:rsidRPr="00EE5923">
        <w:t xml:space="preserve"> </w:t>
      </w:r>
      <w:bookmarkStart w:id="96" w:name="_Toc116923143"/>
      <w:r w:rsidR="007A66A6" w:rsidRPr="00EE5923">
        <w:t>Kleinunternehmer in der Umsatzsteuer</w:t>
      </w:r>
      <w:bookmarkEnd w:id="95"/>
      <w:bookmarkEnd w:id="96"/>
    </w:p>
    <w:p w:rsidR="00B91056" w:rsidRPr="00047CB2" w:rsidRDefault="00B91056" w:rsidP="00EE4F1D">
      <w:pPr>
        <w:overflowPunct w:val="0"/>
        <w:autoSpaceDE w:val="0"/>
        <w:autoSpaceDN w:val="0"/>
        <w:adjustRightInd w:val="0"/>
        <w:spacing w:line="276" w:lineRule="auto"/>
        <w:jc w:val="both"/>
        <w:textAlignment w:val="baseline"/>
        <w:outlineLvl w:val="1"/>
        <w:rPr>
          <w:rFonts w:cs="Arial"/>
        </w:rPr>
      </w:pPr>
      <w:bookmarkStart w:id="97" w:name="_Toc116495903"/>
      <w:bookmarkStart w:id="98" w:name="_Toc116495981"/>
      <w:bookmarkStart w:id="99" w:name="_Toc116497865"/>
      <w:bookmarkStart w:id="100" w:name="_Toc116923144"/>
      <w:r w:rsidRPr="00047CB2">
        <w:rPr>
          <w:rFonts w:cs="Arial"/>
        </w:rPr>
        <w:t xml:space="preserve">Unternehmer mit einem </w:t>
      </w:r>
      <w:r w:rsidRPr="00047CB2">
        <w:rPr>
          <w:rFonts w:cs="Arial"/>
          <w:b/>
        </w:rPr>
        <w:t>Jahres-Nettoumsatz von bis zu</w:t>
      </w:r>
      <w:r w:rsidRPr="00047CB2">
        <w:rPr>
          <w:rFonts w:cs="Arial"/>
        </w:rPr>
        <w:t xml:space="preserve"> </w:t>
      </w:r>
      <w:r w:rsidRPr="00047CB2">
        <w:rPr>
          <w:rFonts w:cs="Arial"/>
          <w:b/>
        </w:rPr>
        <w:t>€ 3</w:t>
      </w:r>
      <w:r w:rsidR="00363570" w:rsidRPr="00047CB2">
        <w:rPr>
          <w:rFonts w:cs="Arial"/>
          <w:b/>
        </w:rPr>
        <w:t>5</w:t>
      </w:r>
      <w:r w:rsidRPr="00047CB2">
        <w:rPr>
          <w:rFonts w:cs="Arial"/>
          <w:b/>
        </w:rPr>
        <w:t xml:space="preserve">.000 </w:t>
      </w:r>
      <w:r w:rsidRPr="00047CB2">
        <w:rPr>
          <w:rFonts w:cs="Arial"/>
        </w:rPr>
        <w:t xml:space="preserve">sind umsatzsteuerlich </w:t>
      </w:r>
      <w:r w:rsidRPr="00047CB2">
        <w:rPr>
          <w:rFonts w:cs="Arial"/>
          <w:b/>
        </w:rPr>
        <w:t>Kleinunternehmer</w:t>
      </w:r>
      <w:r w:rsidRPr="00047CB2">
        <w:rPr>
          <w:rFonts w:cs="Arial"/>
        </w:rPr>
        <w:t xml:space="preserve"> und damit </w:t>
      </w:r>
      <w:r w:rsidRPr="00047CB2">
        <w:rPr>
          <w:rFonts w:cs="Arial"/>
          <w:b/>
        </w:rPr>
        <w:t>von der Umsatzsteuer befreit</w:t>
      </w:r>
      <w:r w:rsidRPr="00047CB2">
        <w:rPr>
          <w:rFonts w:cs="Arial"/>
        </w:rPr>
        <w:t xml:space="preserve">. Je nach anzuwendendem Umsatzsteuersatz entspricht dies einem </w:t>
      </w:r>
      <w:r w:rsidRPr="00047CB2">
        <w:rPr>
          <w:rFonts w:cs="Arial"/>
          <w:b/>
        </w:rPr>
        <w:t>Bruttoumsatz (inkl USt) von € 3</w:t>
      </w:r>
      <w:r w:rsidR="00363570" w:rsidRPr="00047CB2">
        <w:rPr>
          <w:rFonts w:cs="Arial"/>
          <w:b/>
        </w:rPr>
        <w:t>8</w:t>
      </w:r>
      <w:r w:rsidRPr="00047CB2">
        <w:rPr>
          <w:rFonts w:cs="Arial"/>
          <w:b/>
        </w:rPr>
        <w:t>.</w:t>
      </w:r>
      <w:r w:rsidR="00363570" w:rsidRPr="00047CB2">
        <w:rPr>
          <w:rFonts w:cs="Arial"/>
          <w:b/>
        </w:rPr>
        <w:t>5</w:t>
      </w:r>
      <w:r w:rsidRPr="00047CB2">
        <w:rPr>
          <w:rFonts w:cs="Arial"/>
          <w:b/>
        </w:rPr>
        <w:t xml:space="preserve">00 </w:t>
      </w:r>
      <w:r w:rsidRPr="00047CB2">
        <w:rPr>
          <w:rFonts w:cs="Arial"/>
        </w:rPr>
        <w:t>(bei nur 10%igen Umsätzen, wie zB Wohnungsvermietung)</w:t>
      </w:r>
      <w:r w:rsidRPr="00047CB2">
        <w:rPr>
          <w:rFonts w:cs="Arial"/>
          <w:b/>
        </w:rPr>
        <w:t xml:space="preserve"> bis € </w:t>
      </w:r>
      <w:r w:rsidR="00363570" w:rsidRPr="00047CB2">
        <w:rPr>
          <w:rFonts w:cs="Arial"/>
          <w:b/>
        </w:rPr>
        <w:t>42</w:t>
      </w:r>
      <w:r w:rsidRPr="00047CB2">
        <w:rPr>
          <w:rFonts w:cs="Arial"/>
          <w:b/>
        </w:rPr>
        <w:t>.000</w:t>
      </w:r>
      <w:r w:rsidRPr="00047CB2">
        <w:rPr>
          <w:rFonts w:cs="Arial"/>
        </w:rPr>
        <w:t xml:space="preserve"> (bei nur 20%igen Umsätzen). </w:t>
      </w:r>
      <w:r w:rsidR="002C4136" w:rsidRPr="00047CB2">
        <w:rPr>
          <w:rFonts w:cs="Arial"/>
        </w:rPr>
        <w:t xml:space="preserve">Von der Berechnung der Kleinunternehmergrenze ausgenommen sind </w:t>
      </w:r>
      <w:r w:rsidRPr="00047CB2">
        <w:rPr>
          <w:rFonts w:cs="Arial"/>
        </w:rPr>
        <w:t>bestimmte steuerfreie Umsätze wie zB aus ärztlicher Tätigkeit oder als Aufsichtsrat</w:t>
      </w:r>
      <w:r w:rsidR="002C4136" w:rsidRPr="00047CB2">
        <w:rPr>
          <w:rFonts w:cs="Arial"/>
        </w:rPr>
        <w:t>.</w:t>
      </w:r>
      <w:r w:rsidR="003B0B71" w:rsidRPr="00047CB2">
        <w:rPr>
          <w:rFonts w:cs="Arial"/>
        </w:rPr>
        <w:t xml:space="preserve"> Ebenfalls von der Berechnung der Kleinunternehmergrenze ausgenommen sind Umsätze</w:t>
      </w:r>
      <w:r w:rsidR="00A02B05" w:rsidRPr="00047CB2">
        <w:rPr>
          <w:rFonts w:cs="Arial"/>
        </w:rPr>
        <w:t>,</w:t>
      </w:r>
      <w:r w:rsidR="003B0B71" w:rsidRPr="00047CB2">
        <w:rPr>
          <w:rFonts w:cs="Arial"/>
        </w:rPr>
        <w:t xml:space="preserve"> die im Rahmen des EU-OSS (OneStopShop – Versandhandel) erklärt werden.</w:t>
      </w:r>
      <w:r w:rsidR="006961F4" w:rsidRPr="00047CB2">
        <w:rPr>
          <w:rFonts w:cs="Arial"/>
        </w:rPr>
        <w:t xml:space="preserve"> </w:t>
      </w:r>
      <w:r w:rsidRPr="00047CB2">
        <w:rPr>
          <w:rFonts w:cs="Arial"/>
        </w:rPr>
        <w:t>Bei Inanspruch</w:t>
      </w:r>
      <w:r w:rsidR="00263936">
        <w:rPr>
          <w:rFonts w:cs="Arial"/>
        </w:rPr>
        <w:softHyphen/>
      </w:r>
      <w:r w:rsidRPr="00047CB2">
        <w:rPr>
          <w:rFonts w:cs="Arial"/>
        </w:rPr>
        <w:t>nahme der Kleinunternehmerregelung darf keine Umsatzsteuer in Rechnung gestellt werden. Überdies geht der</w:t>
      </w:r>
      <w:r w:rsidRPr="00047CB2">
        <w:rPr>
          <w:rFonts w:cs="Arial"/>
          <w:b/>
        </w:rPr>
        <w:t xml:space="preserve"> Vorsteuerabzug</w:t>
      </w:r>
      <w:r w:rsidRPr="00047CB2">
        <w:rPr>
          <w:rFonts w:cs="Arial"/>
        </w:rPr>
        <w:t xml:space="preserve"> für alle mit den Umsätzen zusammenhängenden Ausgaben </w:t>
      </w:r>
      <w:r w:rsidRPr="00047CB2">
        <w:rPr>
          <w:rFonts w:cs="Arial"/>
          <w:b/>
        </w:rPr>
        <w:t>verloren</w:t>
      </w:r>
      <w:r w:rsidRPr="00047CB2">
        <w:rPr>
          <w:rFonts w:cs="Arial"/>
        </w:rPr>
        <w:t>.</w:t>
      </w:r>
      <w:bookmarkEnd w:id="90"/>
      <w:bookmarkEnd w:id="91"/>
      <w:bookmarkEnd w:id="92"/>
      <w:bookmarkEnd w:id="93"/>
      <w:bookmarkEnd w:id="94"/>
      <w:bookmarkEnd w:id="97"/>
      <w:bookmarkEnd w:id="98"/>
      <w:bookmarkEnd w:id="99"/>
      <w:bookmarkEnd w:id="100"/>
      <w:r w:rsidRPr="00047CB2">
        <w:rPr>
          <w:rFonts w:cs="Arial"/>
        </w:rPr>
        <w:t xml:space="preserve"> </w:t>
      </w:r>
    </w:p>
    <w:p w:rsidR="00B91056" w:rsidRPr="00047CB2" w:rsidRDefault="00B91056" w:rsidP="00B952A7">
      <w:pPr>
        <w:spacing w:line="276" w:lineRule="auto"/>
        <w:jc w:val="both"/>
        <w:rPr>
          <w:rFonts w:cs="Arial"/>
          <w:b/>
        </w:rPr>
      </w:pPr>
    </w:p>
    <w:p w:rsidR="009A4E24" w:rsidRPr="00EE4F1D" w:rsidRDefault="00263936" w:rsidP="00B952A7">
      <w:pPr>
        <w:spacing w:line="276" w:lineRule="auto"/>
        <w:jc w:val="both"/>
        <w:rPr>
          <w:rFonts w:cs="Arial"/>
          <w:lang w:val="de-DE"/>
        </w:rPr>
      </w:pPr>
      <w:r w:rsidRPr="00EE4F1D">
        <w:rPr>
          <w:rFonts w:cs="Arial"/>
          <w:lang w:val="de-DE"/>
        </w:rPr>
        <w:t>Umsatzs</w:t>
      </w:r>
      <w:r w:rsidR="00957DBA" w:rsidRPr="00EE4F1D">
        <w:rPr>
          <w:rFonts w:cs="Arial"/>
          <w:lang w:val="de-DE"/>
        </w:rPr>
        <w:t xml:space="preserve">teuerbefreite Kleinunternehmer, die sich mit ihrem Umsatz </w:t>
      </w:r>
      <w:r w:rsidR="00957DBA" w:rsidRPr="00EE4F1D">
        <w:rPr>
          <w:rFonts w:cs="Arial"/>
          <w:b/>
          <w:lang w:val="de-DE"/>
        </w:rPr>
        <w:t>knapp an der Kleinunternehmergrenze</w:t>
      </w:r>
      <w:r w:rsidR="00957DBA" w:rsidRPr="00EE4F1D">
        <w:rPr>
          <w:rFonts w:cs="Arial"/>
          <w:lang w:val="de-DE"/>
        </w:rPr>
        <w:t xml:space="preserve"> bewegen, sollten rechtzeitig überprüfen, ob sie die Umsatzgrenze von netto € 3</w:t>
      </w:r>
      <w:r w:rsidR="00907A06" w:rsidRPr="00EE4F1D">
        <w:rPr>
          <w:rFonts w:cs="Arial"/>
          <w:lang w:val="de-DE"/>
        </w:rPr>
        <w:t>5</w:t>
      </w:r>
      <w:r w:rsidR="00957DBA" w:rsidRPr="00EE4F1D">
        <w:rPr>
          <w:rFonts w:cs="Arial"/>
          <w:lang w:val="de-DE"/>
        </w:rPr>
        <w:t xml:space="preserve">.000 im laufenden Jahr noch überschreiten werden. Eine einmalige Überschreitung um 15% innerhalb von 5 Jahren ist unschädlich. Wird die </w:t>
      </w:r>
      <w:r w:rsidR="00957DBA" w:rsidRPr="00EE4F1D">
        <w:rPr>
          <w:rFonts w:cs="Arial"/>
          <w:b/>
          <w:lang w:val="de-DE"/>
        </w:rPr>
        <w:t>Grenze überschritten</w:t>
      </w:r>
      <w:r w:rsidR="00957DBA" w:rsidRPr="00EE4F1D">
        <w:rPr>
          <w:rFonts w:cs="Arial"/>
          <w:lang w:val="de-DE"/>
        </w:rPr>
        <w:t xml:space="preserve">, müssen bei Leistungen an Unternehmer allenfalls </w:t>
      </w:r>
      <w:r w:rsidR="00957DBA" w:rsidRPr="00EE4F1D">
        <w:rPr>
          <w:rFonts w:cs="Arial"/>
          <w:b/>
          <w:lang w:val="de-DE"/>
        </w:rPr>
        <w:t>noch im Jahr 20</w:t>
      </w:r>
      <w:r w:rsidR="00363570" w:rsidRPr="00EE4F1D">
        <w:rPr>
          <w:rFonts w:cs="Arial"/>
          <w:b/>
          <w:lang w:val="de-DE"/>
        </w:rPr>
        <w:t>2</w:t>
      </w:r>
      <w:r w:rsidR="00047CB2" w:rsidRPr="00EE4F1D">
        <w:rPr>
          <w:rFonts w:cs="Arial"/>
          <w:b/>
          <w:lang w:val="de-DE"/>
        </w:rPr>
        <w:t>2</w:t>
      </w:r>
      <w:r w:rsidR="00957DBA" w:rsidRPr="00EE4F1D">
        <w:rPr>
          <w:rFonts w:cs="Arial"/>
          <w:b/>
          <w:lang w:val="de-DE"/>
        </w:rPr>
        <w:t xml:space="preserve"> korrigierte Rechnungen</w:t>
      </w:r>
      <w:r w:rsidR="00957DBA" w:rsidRPr="00EE4F1D">
        <w:rPr>
          <w:rFonts w:cs="Arial"/>
          <w:lang w:val="de-DE"/>
        </w:rPr>
        <w:t xml:space="preserve"> mit Umsatzsteuer ausgestellt werden.</w:t>
      </w:r>
      <w:r w:rsidR="009A4E24" w:rsidRPr="00EE4F1D">
        <w:rPr>
          <w:rFonts w:cs="Arial"/>
          <w:lang w:val="de-DE"/>
        </w:rPr>
        <w:t xml:space="preserve"> </w:t>
      </w:r>
      <w:r w:rsidRPr="00EE4F1D">
        <w:rPr>
          <w:rFonts w:cs="Arial"/>
          <w:lang w:val="de-DE"/>
        </w:rPr>
        <w:t>Bei Leistungen an Nichtunternehmer ist erfahrungsgemäß eine Rechnungskorrektur schwer möglich, weshalb die dann geschuldet</w:t>
      </w:r>
      <w:r w:rsidR="00EF67AE">
        <w:rPr>
          <w:rFonts w:cs="Arial"/>
          <w:lang w:val="de-DE"/>
        </w:rPr>
        <w:t>e</w:t>
      </w:r>
      <w:r w:rsidRPr="00EE4F1D">
        <w:rPr>
          <w:rFonts w:cs="Arial"/>
          <w:lang w:val="de-DE"/>
        </w:rPr>
        <w:t xml:space="preserve"> Umsatzsteuer aus dem Brutto-Einnahmenbetrag herausgerechnet werden muss.</w:t>
      </w:r>
    </w:p>
    <w:p w:rsidR="00263936" w:rsidRPr="00047CB2" w:rsidRDefault="00263936" w:rsidP="00B952A7">
      <w:pPr>
        <w:spacing w:line="276" w:lineRule="auto"/>
        <w:jc w:val="both"/>
        <w:rPr>
          <w:rFonts w:cs="Arial"/>
          <w:lang w:val="de-DE"/>
        </w:rPr>
      </w:pPr>
    </w:p>
    <w:p w:rsidR="009A4E24" w:rsidRDefault="009A4E24" w:rsidP="00B952A7">
      <w:pPr>
        <w:spacing w:line="276" w:lineRule="auto"/>
        <w:jc w:val="both"/>
        <w:rPr>
          <w:rFonts w:cs="Arial"/>
          <w:lang w:val="de-DE"/>
        </w:rPr>
      </w:pPr>
      <w:r w:rsidRPr="00047CB2">
        <w:rPr>
          <w:rFonts w:cs="Arial"/>
          <w:lang w:val="de-DE"/>
        </w:rPr>
        <w:t xml:space="preserve">In vielen Fällen kann es sinnvoll sein, auf die </w:t>
      </w:r>
      <w:r w:rsidRPr="00047CB2">
        <w:rPr>
          <w:rFonts w:cs="Arial"/>
          <w:b/>
          <w:lang w:val="de-DE"/>
        </w:rPr>
        <w:t>Steuerbefreiung für Kleinunternehmer zu verzichten</w:t>
      </w:r>
      <w:r w:rsidRPr="00047CB2">
        <w:rPr>
          <w:rFonts w:cs="Arial"/>
          <w:lang w:val="de-DE"/>
        </w:rPr>
        <w:t xml:space="preserve"> (etwa um dadurch in den Genuss des Vorsteuerabzugs für die mit den Umsätzen zusammenhängenden Ausgaben, zB Investitionen, zu kommen). Der Verzicht wird vor allem dann leichter fallen, wenn die Kunden vorsteuerabzugsberechtigte Unternehmer sind.</w:t>
      </w:r>
    </w:p>
    <w:p w:rsidR="00EE4F1D" w:rsidRPr="00047CB2" w:rsidRDefault="00EE4F1D" w:rsidP="00B952A7">
      <w:pPr>
        <w:spacing w:line="276" w:lineRule="auto"/>
        <w:jc w:val="both"/>
        <w:rPr>
          <w:rFonts w:cs="Arial"/>
          <w:lang w:val="de-DE"/>
        </w:rPr>
      </w:pPr>
    </w:p>
    <w:p w:rsidR="009A4E24" w:rsidRPr="00047CB2" w:rsidRDefault="009A4E24" w:rsidP="00233F3F">
      <w:pPr>
        <w:shd w:val="clear" w:color="auto" w:fill="FBD4B4" w:themeFill="accent6" w:themeFillTint="66"/>
        <w:spacing w:line="276" w:lineRule="auto"/>
        <w:jc w:val="both"/>
        <w:rPr>
          <w:rFonts w:cs="Arial"/>
          <w:lang w:val="de-DE"/>
        </w:rPr>
      </w:pPr>
      <w:r w:rsidRPr="00047CB2">
        <w:rPr>
          <w:rFonts w:cs="Arial"/>
          <w:b/>
          <w:lang w:val="de-DE"/>
        </w:rPr>
        <w:t>TIPP</w:t>
      </w:r>
      <w:r w:rsidRPr="00047CB2">
        <w:rPr>
          <w:rFonts w:cs="Arial"/>
          <w:lang w:val="de-DE"/>
        </w:rPr>
        <w:t xml:space="preserve">: Ein Kleinunternehmer kann </w:t>
      </w:r>
      <w:r w:rsidRPr="00263936">
        <w:rPr>
          <w:rFonts w:cs="Arial"/>
          <w:b/>
          <w:bCs/>
          <w:lang w:val="de-DE"/>
        </w:rPr>
        <w:t>bis zur Rechtskraft des Umsatzsteuerbescheids</w:t>
      </w:r>
      <w:r w:rsidRPr="00047CB2">
        <w:rPr>
          <w:rFonts w:cs="Arial"/>
          <w:lang w:val="de-DE"/>
        </w:rPr>
        <w:t xml:space="preserve"> schriftlich gegenüber dem Finanzamt auf die Anwendung der Kleinunternehmerregelung verzichten. Der </w:t>
      </w:r>
      <w:r w:rsidRPr="00263936">
        <w:rPr>
          <w:rFonts w:cs="Arial"/>
          <w:b/>
          <w:bCs/>
          <w:lang w:val="de-DE"/>
        </w:rPr>
        <w:t>Verzicht bindet</w:t>
      </w:r>
      <w:r w:rsidRPr="00047CB2">
        <w:rPr>
          <w:rFonts w:cs="Arial"/>
          <w:lang w:val="de-DE"/>
        </w:rPr>
        <w:t xml:space="preserve"> den Unternehmer allerdings für </w:t>
      </w:r>
      <w:r w:rsidRPr="00263936">
        <w:rPr>
          <w:rFonts w:cs="Arial"/>
          <w:b/>
          <w:bCs/>
          <w:lang w:val="de-DE"/>
        </w:rPr>
        <w:t>fünf Jahre</w:t>
      </w:r>
      <w:r w:rsidRPr="00047CB2">
        <w:rPr>
          <w:rFonts w:cs="Arial"/>
          <w:lang w:val="de-DE"/>
        </w:rPr>
        <w:t>!</w:t>
      </w:r>
    </w:p>
    <w:p w:rsidR="008B694F" w:rsidRPr="00047CB2" w:rsidRDefault="008B694F" w:rsidP="00E624B9">
      <w:pPr>
        <w:spacing w:line="276" w:lineRule="auto"/>
        <w:jc w:val="both"/>
        <w:rPr>
          <w:rFonts w:cs="Arial"/>
          <w:b/>
          <w:highlight w:val="yellow"/>
        </w:rPr>
      </w:pPr>
    </w:p>
    <w:p w:rsidR="007A66A6" w:rsidRPr="00EE5923" w:rsidRDefault="00EE5923" w:rsidP="005349C1">
      <w:pPr>
        <w:pStyle w:val="berschrift2"/>
        <w:numPr>
          <w:ilvl w:val="1"/>
          <w:numId w:val="16"/>
        </w:numPr>
        <w:ind w:left="567" w:hanging="567"/>
      </w:pPr>
      <w:r w:rsidRPr="00EE5923">
        <w:t xml:space="preserve"> </w:t>
      </w:r>
      <w:bookmarkStart w:id="101" w:name="_Toc116923145"/>
      <w:r w:rsidR="007A66A6" w:rsidRPr="00EE5923">
        <w:t>Kleinunternehmerpauschalierung für Einnahmen-Ausgaben</w:t>
      </w:r>
      <w:r w:rsidR="00EF67AE">
        <w:t>-</w:t>
      </w:r>
      <w:r w:rsidR="007A66A6" w:rsidRPr="00EE5923">
        <w:t>Rechner</w:t>
      </w:r>
      <w:bookmarkEnd w:id="101"/>
      <w:r w:rsidR="00907A06" w:rsidRPr="00EE5923">
        <w:t xml:space="preserve"> </w:t>
      </w:r>
    </w:p>
    <w:p w:rsidR="00FE0CB5" w:rsidRDefault="007A66A6" w:rsidP="00E624B9">
      <w:pPr>
        <w:spacing w:line="276" w:lineRule="auto"/>
        <w:jc w:val="both"/>
        <w:rPr>
          <w:rFonts w:cs="Arial"/>
        </w:rPr>
      </w:pPr>
      <w:r w:rsidRPr="00047CB2">
        <w:rPr>
          <w:rFonts w:cs="Arial"/>
        </w:rPr>
        <w:t>Betragen die Umsätze des Wirtschaftsjahrs 202</w:t>
      </w:r>
      <w:r w:rsidR="00047CB2" w:rsidRPr="00047CB2">
        <w:rPr>
          <w:rFonts w:cs="Arial"/>
        </w:rPr>
        <w:t>2</w:t>
      </w:r>
      <w:r w:rsidRPr="00047CB2">
        <w:rPr>
          <w:rFonts w:cs="Arial"/>
        </w:rPr>
        <w:t xml:space="preserve"> nicht mehr als € 35.00</w:t>
      </w:r>
      <w:r w:rsidR="00BA049F" w:rsidRPr="00047CB2">
        <w:rPr>
          <w:rFonts w:cs="Arial"/>
        </w:rPr>
        <w:t>0 aus einer selbständigen oder gewerblichen Tätigkeit, so kann der</w:t>
      </w:r>
      <w:r w:rsidR="0029305B" w:rsidRPr="00047CB2">
        <w:rPr>
          <w:rFonts w:cs="Arial"/>
        </w:rPr>
        <w:t xml:space="preserve"> Gewinn pauschal </w:t>
      </w:r>
      <w:r w:rsidR="00BA049F" w:rsidRPr="00047CB2">
        <w:rPr>
          <w:rFonts w:cs="Arial"/>
        </w:rPr>
        <w:t>ermittelt werden.</w:t>
      </w:r>
      <w:r w:rsidR="0029305B" w:rsidRPr="00047CB2">
        <w:rPr>
          <w:rFonts w:cs="Arial"/>
        </w:rPr>
        <w:t xml:space="preserve"> </w:t>
      </w:r>
      <w:r w:rsidR="00DF2B6D" w:rsidRPr="00047CB2">
        <w:rPr>
          <w:rFonts w:cs="Arial"/>
        </w:rPr>
        <w:t xml:space="preserve">Ausgenommen sind aber Einkünfte als Gesellschafter-Geschäftsführer, Aufsichtsratsmitglied und Stiftungsvorstand. Bei der Gewinnermittlung sind dabei die </w:t>
      </w:r>
      <w:r w:rsidR="00DF2B6D" w:rsidRPr="00047CB2">
        <w:rPr>
          <w:rFonts w:cs="Arial"/>
          <w:b/>
        </w:rPr>
        <w:t>Betriebsausgaben pauschal mit 45% bzw 20% bei Dienstleistungsbetrieben</w:t>
      </w:r>
      <w:r w:rsidR="00DF2B6D" w:rsidRPr="00047CB2">
        <w:rPr>
          <w:rFonts w:cs="Arial"/>
        </w:rPr>
        <w:t xml:space="preserve"> anzusetzen. Daneben können nur noch Sozialversicherungsbeiträge</w:t>
      </w:r>
      <w:r w:rsidR="004D02E7">
        <w:rPr>
          <w:rFonts w:cs="Arial"/>
        </w:rPr>
        <w:t>, das Arbeitsplatzpauschale</w:t>
      </w:r>
      <w:r w:rsidR="00DF2B6D" w:rsidRPr="00047CB2">
        <w:rPr>
          <w:rFonts w:cs="Arial"/>
        </w:rPr>
        <w:t xml:space="preserve"> </w:t>
      </w:r>
      <w:r w:rsidR="00AB0DDA">
        <w:rPr>
          <w:rFonts w:cs="Arial"/>
        </w:rPr>
        <w:t>sowie das 50%ige Pauschale für betrieblich genutzte Netzkarten</w:t>
      </w:r>
      <w:r w:rsidR="004D02E7">
        <w:rPr>
          <w:rFonts w:cs="Arial"/>
        </w:rPr>
        <w:t xml:space="preserve"> für Massenbeförderungsmittel</w:t>
      </w:r>
      <w:r w:rsidR="00AB0DDA">
        <w:rPr>
          <w:rFonts w:cs="Arial"/>
        </w:rPr>
        <w:t xml:space="preserve"> </w:t>
      </w:r>
      <w:r w:rsidR="00DF2B6D" w:rsidRPr="00047CB2">
        <w:rPr>
          <w:rFonts w:cs="Arial"/>
        </w:rPr>
        <w:t>abgezogen werden.</w:t>
      </w:r>
      <w:r w:rsidR="00C44D32" w:rsidRPr="00047CB2">
        <w:rPr>
          <w:rFonts w:cs="Arial"/>
        </w:rPr>
        <w:t xml:space="preserve"> Der </w:t>
      </w:r>
      <w:r w:rsidR="00BA049F" w:rsidRPr="00047CB2">
        <w:rPr>
          <w:rFonts w:cs="Arial"/>
        </w:rPr>
        <w:t>G</w:t>
      </w:r>
      <w:r w:rsidR="00C44D32" w:rsidRPr="00047CB2">
        <w:rPr>
          <w:rFonts w:cs="Arial"/>
        </w:rPr>
        <w:t xml:space="preserve">rundfreibetrag </w:t>
      </w:r>
      <w:r w:rsidR="00AB0DDA">
        <w:rPr>
          <w:rFonts w:cs="Arial"/>
        </w:rPr>
        <w:t xml:space="preserve">des Gewinnfreibetrages </w:t>
      </w:r>
      <w:r w:rsidR="00C44D32" w:rsidRPr="00047CB2">
        <w:rPr>
          <w:rFonts w:cs="Arial"/>
        </w:rPr>
        <w:t xml:space="preserve">steht ebenfalls zu. </w:t>
      </w:r>
    </w:p>
    <w:p w:rsidR="00EE4F1D" w:rsidRDefault="00EE4F1D" w:rsidP="00E624B9">
      <w:pPr>
        <w:spacing w:line="276" w:lineRule="auto"/>
        <w:jc w:val="both"/>
        <w:rPr>
          <w:rFonts w:cs="Arial"/>
        </w:rPr>
      </w:pPr>
    </w:p>
    <w:p w:rsidR="0029305B" w:rsidRPr="00047CB2" w:rsidRDefault="00FE0CB5" w:rsidP="00FE0CB5">
      <w:pPr>
        <w:shd w:val="clear" w:color="auto" w:fill="FBD4B4" w:themeFill="accent6" w:themeFillTint="66"/>
        <w:spacing w:line="276" w:lineRule="auto"/>
        <w:jc w:val="both"/>
        <w:rPr>
          <w:rFonts w:cs="Arial"/>
        </w:rPr>
      </w:pPr>
      <w:r w:rsidRPr="00FE0CB5">
        <w:rPr>
          <w:rFonts w:cs="Arial"/>
          <w:b/>
          <w:bCs/>
        </w:rPr>
        <w:t>TIPP</w:t>
      </w:r>
      <w:r>
        <w:rPr>
          <w:rFonts w:cs="Arial"/>
        </w:rPr>
        <w:t xml:space="preserve">: </w:t>
      </w:r>
      <w:r w:rsidR="00DF2B6D" w:rsidRPr="00047CB2">
        <w:rPr>
          <w:rFonts w:cs="Arial"/>
        </w:rPr>
        <w:t xml:space="preserve">Da bei nebenberuflichen Einkünften (zB Vortragstätigkeit, Autorenhonorare) sehr oft ohnehin nur </w:t>
      </w:r>
      <w:r w:rsidR="00C44D32" w:rsidRPr="00047CB2">
        <w:rPr>
          <w:rFonts w:cs="Arial"/>
        </w:rPr>
        <w:t xml:space="preserve">geringe Betriebsausgaben anfallen, kann die Inanspruchnahme der Pauschalierung interessant werden. </w:t>
      </w:r>
    </w:p>
    <w:p w:rsidR="00B91056" w:rsidRDefault="00B91056" w:rsidP="00EE4F1D">
      <w:pPr>
        <w:spacing w:line="276" w:lineRule="auto"/>
        <w:ind w:left="357" w:hanging="357"/>
        <w:jc w:val="both"/>
        <w:outlineLvl w:val="1"/>
        <w:rPr>
          <w:rFonts w:cs="Arial"/>
          <w:highlight w:val="yellow"/>
        </w:rPr>
      </w:pPr>
    </w:p>
    <w:p w:rsidR="00EE4F1D" w:rsidRPr="00047CB2" w:rsidRDefault="00EE4F1D" w:rsidP="00EE4F1D">
      <w:pPr>
        <w:spacing w:line="276" w:lineRule="auto"/>
        <w:ind w:left="357" w:hanging="357"/>
        <w:jc w:val="both"/>
        <w:outlineLvl w:val="1"/>
        <w:rPr>
          <w:rFonts w:cs="Arial"/>
          <w:highlight w:val="yellow"/>
        </w:rPr>
      </w:pPr>
    </w:p>
    <w:p w:rsidR="00B91056" w:rsidRPr="00EE4F1D" w:rsidRDefault="00EE4F1D" w:rsidP="00EE4F1D">
      <w:pPr>
        <w:pStyle w:val="berschrift1"/>
        <w:spacing w:line="276" w:lineRule="auto"/>
        <w:rPr>
          <w:color w:val="E36C0A" w:themeColor="accent6" w:themeShade="BF"/>
          <w:sz w:val="24"/>
          <w:szCs w:val="24"/>
          <w:u w:val="none"/>
        </w:rPr>
      </w:pPr>
      <w:bookmarkStart w:id="102" w:name="_Toc306629727"/>
      <w:bookmarkStart w:id="103" w:name="_Toc306630521"/>
      <w:bookmarkStart w:id="104" w:name="_Toc306632148"/>
      <w:bookmarkStart w:id="105" w:name="_Toc116494069"/>
      <w:bookmarkStart w:id="106" w:name="_Toc116923146"/>
      <w:r w:rsidRPr="00EE4F1D">
        <w:rPr>
          <w:color w:val="E36C0A" w:themeColor="accent6" w:themeShade="BF"/>
          <w:sz w:val="24"/>
          <w:szCs w:val="24"/>
          <w:u w:val="none"/>
        </w:rPr>
        <w:t>„KLEINUNTERNEHMER“-GSVG-BEFREIUNG BIS 31.12.2022 BEANTRAGEN</w:t>
      </w:r>
      <w:bookmarkEnd w:id="102"/>
      <w:bookmarkEnd w:id="103"/>
      <w:bookmarkEnd w:id="104"/>
      <w:bookmarkEnd w:id="105"/>
      <w:bookmarkEnd w:id="106"/>
    </w:p>
    <w:p w:rsidR="00B91056" w:rsidRPr="00DC4248" w:rsidRDefault="00B91056" w:rsidP="00EE4F1D">
      <w:pPr>
        <w:spacing w:line="276" w:lineRule="auto"/>
        <w:jc w:val="both"/>
        <w:rPr>
          <w:rFonts w:cs="Arial"/>
        </w:rPr>
      </w:pPr>
      <w:r w:rsidRPr="00DC4248">
        <w:rPr>
          <w:rFonts w:cs="Arial"/>
          <w:b/>
        </w:rPr>
        <w:t>Gewerbetreibende und Ärzte (Zahnärzte)</w:t>
      </w:r>
      <w:r w:rsidRPr="00DC4248">
        <w:rPr>
          <w:rFonts w:cs="Arial"/>
        </w:rPr>
        <w:t xml:space="preserve"> </w:t>
      </w:r>
      <w:r w:rsidRPr="00DC4248">
        <w:rPr>
          <w:rFonts w:cs="Arial"/>
          <w:bCs/>
        </w:rPr>
        <w:t xml:space="preserve">können bis </w:t>
      </w:r>
      <w:r w:rsidRPr="00DC4248">
        <w:rPr>
          <w:rFonts w:cs="Arial"/>
        </w:rPr>
        <w:t>spätestens 31.12.20</w:t>
      </w:r>
      <w:r w:rsidR="00907A06" w:rsidRPr="00DC4248">
        <w:rPr>
          <w:rFonts w:cs="Arial"/>
        </w:rPr>
        <w:t>2</w:t>
      </w:r>
      <w:r w:rsidR="00047CB2" w:rsidRPr="00DC4248">
        <w:rPr>
          <w:rFonts w:cs="Arial"/>
        </w:rPr>
        <w:t>2</w:t>
      </w:r>
      <w:r w:rsidRPr="00DC4248">
        <w:rPr>
          <w:rFonts w:cs="Arial"/>
        </w:rPr>
        <w:t xml:space="preserve"> </w:t>
      </w:r>
      <w:r w:rsidRPr="00DC4248">
        <w:rPr>
          <w:rFonts w:cs="Arial"/>
          <w:b/>
        </w:rPr>
        <w:t>rückwirkend für das laufende Jahr</w:t>
      </w:r>
      <w:r w:rsidRPr="00DC4248">
        <w:rPr>
          <w:rFonts w:cs="Arial"/>
        </w:rPr>
        <w:t xml:space="preserve"> die Befreiung von der </w:t>
      </w:r>
      <w:r w:rsidRPr="00DC4248">
        <w:rPr>
          <w:rFonts w:cs="Arial"/>
          <w:b/>
        </w:rPr>
        <w:t>Kranken- und Pensionsversicherung</w:t>
      </w:r>
      <w:r w:rsidRPr="00DC4248">
        <w:rPr>
          <w:rFonts w:cs="Arial"/>
        </w:rPr>
        <w:t xml:space="preserve"> </w:t>
      </w:r>
      <w:r w:rsidRPr="00DC4248">
        <w:rPr>
          <w:rFonts w:cs="Arial"/>
          <w:b/>
          <w:bCs/>
        </w:rPr>
        <w:t>nach</w:t>
      </w:r>
      <w:r w:rsidRPr="00DC4248">
        <w:rPr>
          <w:rFonts w:cs="Arial"/>
          <w:bCs/>
        </w:rPr>
        <w:t xml:space="preserve"> </w:t>
      </w:r>
      <w:r w:rsidRPr="00DC4248">
        <w:rPr>
          <w:rFonts w:cs="Arial"/>
          <w:b/>
          <w:bCs/>
        </w:rPr>
        <w:t xml:space="preserve">GSVG </w:t>
      </w:r>
      <w:r w:rsidRPr="00DC4248">
        <w:rPr>
          <w:rFonts w:cs="Arial"/>
        </w:rPr>
        <w:t>(Ärzte nur Pensionsversicherung)</w:t>
      </w:r>
      <w:r w:rsidRPr="00DC4248">
        <w:rPr>
          <w:rFonts w:cs="Arial"/>
          <w:b/>
        </w:rPr>
        <w:t xml:space="preserve"> </w:t>
      </w:r>
      <w:r w:rsidRPr="00DC4248">
        <w:rPr>
          <w:rFonts w:cs="Arial"/>
          <w:b/>
          <w:bCs/>
        </w:rPr>
        <w:t>beantragen</w:t>
      </w:r>
      <w:r w:rsidRPr="00DC4248">
        <w:rPr>
          <w:rFonts w:cs="Arial"/>
        </w:rPr>
        <w:t xml:space="preserve">, </w:t>
      </w:r>
      <w:r w:rsidRPr="00DC4248">
        <w:rPr>
          <w:rFonts w:cs="Arial"/>
          <w:bCs/>
        </w:rPr>
        <w:t>wenn die</w:t>
      </w:r>
      <w:r w:rsidRPr="00DC4248">
        <w:rPr>
          <w:rFonts w:cs="Arial"/>
        </w:rPr>
        <w:t xml:space="preserve"> </w:t>
      </w:r>
      <w:r w:rsidRPr="00DC4248">
        <w:rPr>
          <w:rFonts w:cs="Arial"/>
          <w:bCs/>
        </w:rPr>
        <w:t xml:space="preserve">steuerpflichtigen </w:t>
      </w:r>
      <w:r w:rsidRPr="00DC4248">
        <w:rPr>
          <w:rFonts w:cs="Arial"/>
          <w:b/>
          <w:bCs/>
        </w:rPr>
        <w:t xml:space="preserve">Einkünfte </w:t>
      </w:r>
      <w:r w:rsidRPr="00DC4248">
        <w:rPr>
          <w:rFonts w:cs="Arial"/>
          <w:b/>
        </w:rPr>
        <w:t>20</w:t>
      </w:r>
      <w:r w:rsidR="00907A06" w:rsidRPr="00DC4248">
        <w:rPr>
          <w:rFonts w:cs="Arial"/>
          <w:b/>
        </w:rPr>
        <w:t>2</w:t>
      </w:r>
      <w:r w:rsidR="00047CB2" w:rsidRPr="00DC4248">
        <w:rPr>
          <w:rFonts w:cs="Arial"/>
          <w:b/>
        </w:rPr>
        <w:t>2</w:t>
      </w:r>
      <w:r w:rsidRPr="00DC4248">
        <w:rPr>
          <w:rFonts w:cs="Arial"/>
          <w:b/>
        </w:rPr>
        <w:t xml:space="preserve"> </w:t>
      </w:r>
      <w:r w:rsidRPr="00DC4248">
        <w:rPr>
          <w:rFonts w:cs="Arial"/>
          <w:b/>
          <w:bCs/>
        </w:rPr>
        <w:t xml:space="preserve">maximal € </w:t>
      </w:r>
      <w:r w:rsidR="002C4136" w:rsidRPr="00DC4248">
        <w:rPr>
          <w:rFonts w:cs="Arial"/>
          <w:b/>
          <w:bCs/>
        </w:rPr>
        <w:t>5.</w:t>
      </w:r>
      <w:r w:rsidR="00047CB2" w:rsidRPr="00DC4248">
        <w:rPr>
          <w:rFonts w:cs="Arial"/>
          <w:b/>
          <w:bCs/>
        </w:rPr>
        <w:t>830</w:t>
      </w:r>
      <w:r w:rsidR="00F30AB9" w:rsidRPr="00DC4248">
        <w:rPr>
          <w:rFonts w:cs="Arial"/>
          <w:b/>
          <w:bCs/>
        </w:rPr>
        <w:t>,</w:t>
      </w:r>
      <w:r w:rsidR="00047CB2" w:rsidRPr="00DC4248">
        <w:rPr>
          <w:rFonts w:cs="Arial"/>
          <w:b/>
          <w:bCs/>
        </w:rPr>
        <w:t>20</w:t>
      </w:r>
      <w:r w:rsidRPr="00DC4248">
        <w:rPr>
          <w:rFonts w:cs="Arial"/>
          <w:b/>
          <w:bCs/>
        </w:rPr>
        <w:t xml:space="preserve"> </w:t>
      </w:r>
      <w:r w:rsidRPr="00DC4248">
        <w:rPr>
          <w:rFonts w:cs="Arial"/>
        </w:rPr>
        <w:t>und der</w:t>
      </w:r>
      <w:r w:rsidRPr="00DC4248">
        <w:rPr>
          <w:rFonts w:cs="Arial"/>
          <w:b/>
        </w:rPr>
        <w:t xml:space="preserve"> Jahresumsatz 20</w:t>
      </w:r>
      <w:r w:rsidR="00907A06" w:rsidRPr="00DC4248">
        <w:rPr>
          <w:rFonts w:cs="Arial"/>
          <w:b/>
        </w:rPr>
        <w:t>2</w:t>
      </w:r>
      <w:r w:rsidR="00047CB2" w:rsidRPr="00DC4248">
        <w:rPr>
          <w:rFonts w:cs="Arial"/>
          <w:b/>
        </w:rPr>
        <w:t>2</w:t>
      </w:r>
      <w:r w:rsidRPr="00DC4248">
        <w:rPr>
          <w:rFonts w:cs="Arial"/>
          <w:b/>
        </w:rPr>
        <w:t xml:space="preserve"> maximal € 3</w:t>
      </w:r>
      <w:r w:rsidR="00907A06" w:rsidRPr="00DC4248">
        <w:rPr>
          <w:rFonts w:cs="Arial"/>
          <w:b/>
        </w:rPr>
        <w:t>5</w:t>
      </w:r>
      <w:r w:rsidRPr="00DC4248">
        <w:rPr>
          <w:rFonts w:cs="Arial"/>
          <w:b/>
        </w:rPr>
        <w:t xml:space="preserve">.000 </w:t>
      </w:r>
      <w:r w:rsidRPr="00DC4248">
        <w:rPr>
          <w:rFonts w:cs="Arial"/>
        </w:rPr>
        <w:t xml:space="preserve">aus sämtlichen unternehmerischen Tätigkeiten </w:t>
      </w:r>
      <w:r w:rsidRPr="00DC4248">
        <w:rPr>
          <w:rFonts w:cs="Arial"/>
          <w:bCs/>
        </w:rPr>
        <w:t>betragen werden</w:t>
      </w:r>
      <w:r w:rsidRPr="00DC4248">
        <w:rPr>
          <w:rFonts w:cs="Arial"/>
        </w:rPr>
        <w:t>. Antragsberechtigt sind</w:t>
      </w:r>
    </w:p>
    <w:p w:rsidR="00B91056" w:rsidRPr="00EE4F1D" w:rsidRDefault="00B91056" w:rsidP="005349C1">
      <w:pPr>
        <w:pStyle w:val="Listenabsatz"/>
        <w:numPr>
          <w:ilvl w:val="0"/>
          <w:numId w:val="7"/>
        </w:numPr>
        <w:spacing w:line="276" w:lineRule="auto"/>
        <w:ind w:left="567" w:hanging="283"/>
        <w:jc w:val="both"/>
        <w:rPr>
          <w:rFonts w:cs="Arial"/>
        </w:rPr>
      </w:pPr>
      <w:r w:rsidRPr="00EE4F1D">
        <w:rPr>
          <w:rFonts w:cs="Arial"/>
        </w:rPr>
        <w:t xml:space="preserve">Jungunternehmer (maximal 12 Monate GSVG-Pflicht in den letzten </w:t>
      </w:r>
      <w:r w:rsidR="00205F5C" w:rsidRPr="00EE4F1D">
        <w:rPr>
          <w:rFonts w:cs="Arial"/>
        </w:rPr>
        <w:t>fünf</w:t>
      </w:r>
      <w:r w:rsidRPr="00EE4F1D">
        <w:rPr>
          <w:rFonts w:cs="Arial"/>
        </w:rPr>
        <w:t xml:space="preserve"> Jahren), </w:t>
      </w:r>
      <w:r w:rsidR="00E97FF2" w:rsidRPr="00EE4F1D">
        <w:rPr>
          <w:rFonts w:cs="Arial"/>
        </w:rPr>
        <w:t>die das 57. Lebensjahr noch nicht vollendet haben</w:t>
      </w:r>
      <w:r w:rsidR="00A165B9" w:rsidRPr="00EE4F1D">
        <w:rPr>
          <w:rFonts w:cs="Arial"/>
        </w:rPr>
        <w:t>.</w:t>
      </w:r>
    </w:p>
    <w:p w:rsidR="00B91056" w:rsidRPr="00EE4F1D" w:rsidRDefault="00B91056" w:rsidP="005349C1">
      <w:pPr>
        <w:pStyle w:val="Listenabsatz"/>
        <w:numPr>
          <w:ilvl w:val="0"/>
          <w:numId w:val="7"/>
        </w:numPr>
        <w:spacing w:line="276" w:lineRule="auto"/>
        <w:ind w:left="567" w:hanging="283"/>
        <w:jc w:val="both"/>
        <w:rPr>
          <w:rFonts w:cs="Arial"/>
        </w:rPr>
      </w:pPr>
      <w:r w:rsidRPr="00EE4F1D">
        <w:rPr>
          <w:rFonts w:cs="Arial"/>
        </w:rPr>
        <w:t>Personen, die das 60. Lebensjahr vollendet haben, sowie</w:t>
      </w:r>
    </w:p>
    <w:p w:rsidR="00B91056" w:rsidRPr="00DC4248" w:rsidRDefault="00B91056" w:rsidP="005349C1">
      <w:pPr>
        <w:pStyle w:val="Listenabsatz"/>
        <w:numPr>
          <w:ilvl w:val="0"/>
          <w:numId w:val="7"/>
        </w:numPr>
        <w:spacing w:line="276" w:lineRule="auto"/>
        <w:ind w:left="567" w:hanging="283"/>
        <w:jc w:val="both"/>
        <w:rPr>
          <w:rFonts w:cs="Arial"/>
        </w:rPr>
      </w:pPr>
      <w:r w:rsidRPr="00EE4F1D">
        <w:rPr>
          <w:rFonts w:cs="Arial"/>
        </w:rPr>
        <w:t xml:space="preserve">Männer und Frauen, die das 57. Lebensjahr </w:t>
      </w:r>
      <w:r w:rsidR="00E97FF2" w:rsidRPr="00EE4F1D">
        <w:rPr>
          <w:rFonts w:cs="Arial"/>
        </w:rPr>
        <w:t>(nicht aber das 60. Lebensjahr)</w:t>
      </w:r>
      <w:r w:rsidR="009B5B5F" w:rsidRPr="00EE4F1D">
        <w:rPr>
          <w:rFonts w:cs="Arial"/>
        </w:rPr>
        <w:t xml:space="preserve"> </w:t>
      </w:r>
      <w:r w:rsidRPr="00EE4F1D">
        <w:rPr>
          <w:rFonts w:cs="Arial"/>
        </w:rPr>
        <w:t xml:space="preserve">vollendet haben, wenn sie in den letzten </w:t>
      </w:r>
      <w:r w:rsidR="00205F5C" w:rsidRPr="00EE4F1D">
        <w:rPr>
          <w:rFonts w:cs="Arial"/>
        </w:rPr>
        <w:t>fünf</w:t>
      </w:r>
      <w:r w:rsidRPr="00EE4F1D">
        <w:rPr>
          <w:rFonts w:cs="Arial"/>
        </w:rPr>
        <w:t xml:space="preserve"> Jahren die maßgeblichen Umsatz- und Einkunftsgrenzen nicht überschritten </w:t>
      </w:r>
      <w:r w:rsidRPr="00DC4248">
        <w:rPr>
          <w:rFonts w:cs="Arial"/>
        </w:rPr>
        <w:t>haben.</w:t>
      </w:r>
    </w:p>
    <w:p w:rsidR="00A46264" w:rsidRPr="00DC4248" w:rsidRDefault="002C4136" w:rsidP="00B952A7">
      <w:pPr>
        <w:spacing w:line="276" w:lineRule="auto"/>
        <w:jc w:val="both"/>
        <w:rPr>
          <w:rFonts w:cs="Arial"/>
        </w:rPr>
      </w:pPr>
      <w:r w:rsidRPr="00DC4248">
        <w:rPr>
          <w:rFonts w:cs="Arial"/>
        </w:rPr>
        <w:t>Di</w:t>
      </w:r>
      <w:r w:rsidR="00B91056" w:rsidRPr="00DC4248">
        <w:rPr>
          <w:rFonts w:cs="Arial"/>
        </w:rPr>
        <w:t xml:space="preserve">e Befreiung </w:t>
      </w:r>
      <w:r w:rsidRPr="00DC4248">
        <w:rPr>
          <w:rFonts w:cs="Arial"/>
        </w:rPr>
        <w:t xml:space="preserve">kann </w:t>
      </w:r>
      <w:r w:rsidR="00B91056" w:rsidRPr="00DC4248">
        <w:rPr>
          <w:rFonts w:cs="Arial"/>
        </w:rPr>
        <w:t xml:space="preserve">auch während des </w:t>
      </w:r>
      <w:r w:rsidR="00B91056" w:rsidRPr="00DC4248">
        <w:rPr>
          <w:rFonts w:cs="Arial"/>
          <w:b/>
        </w:rPr>
        <w:t>Bezugs von Kinderbetreuungsgeld</w:t>
      </w:r>
      <w:r w:rsidR="00B91056" w:rsidRPr="00DC4248">
        <w:rPr>
          <w:rFonts w:cs="Arial"/>
        </w:rPr>
        <w:t xml:space="preserve"> oder bei Bestehen einer Teilversicherung während der Kindererziehung beantragt werden, wenn die </w:t>
      </w:r>
      <w:r w:rsidR="00B91056" w:rsidRPr="00DC4248">
        <w:rPr>
          <w:rFonts w:cs="Arial"/>
          <w:b/>
        </w:rPr>
        <w:t xml:space="preserve">monatlichen Einkünfte maximal </w:t>
      </w:r>
      <w:r w:rsidR="00E97FF2" w:rsidRPr="00DC4248">
        <w:rPr>
          <w:rFonts w:cs="Arial"/>
          <w:b/>
        </w:rPr>
        <w:t xml:space="preserve">€ </w:t>
      </w:r>
      <w:r w:rsidR="000B630A" w:rsidRPr="00DC4248">
        <w:rPr>
          <w:rFonts w:cs="Arial"/>
          <w:b/>
        </w:rPr>
        <w:t>4</w:t>
      </w:r>
      <w:r w:rsidR="00DC4248" w:rsidRPr="00DC4248">
        <w:rPr>
          <w:rFonts w:cs="Arial"/>
          <w:b/>
        </w:rPr>
        <w:t>85</w:t>
      </w:r>
      <w:r w:rsidR="000B630A" w:rsidRPr="00DC4248">
        <w:rPr>
          <w:rFonts w:cs="Arial"/>
          <w:b/>
        </w:rPr>
        <w:t>,</w:t>
      </w:r>
      <w:r w:rsidR="00DC4248" w:rsidRPr="00DC4248">
        <w:rPr>
          <w:rFonts w:cs="Arial"/>
          <w:b/>
        </w:rPr>
        <w:t>85</w:t>
      </w:r>
      <w:r w:rsidR="00E97FF2" w:rsidRPr="00DC4248">
        <w:rPr>
          <w:rFonts w:cs="Arial"/>
          <w:b/>
        </w:rPr>
        <w:t xml:space="preserve"> </w:t>
      </w:r>
      <w:r w:rsidR="00B91056" w:rsidRPr="00DC4248">
        <w:rPr>
          <w:rFonts w:cs="Arial"/>
        </w:rPr>
        <w:t xml:space="preserve">und der </w:t>
      </w:r>
      <w:r w:rsidR="00B91056" w:rsidRPr="00DC4248">
        <w:rPr>
          <w:rFonts w:cs="Arial"/>
          <w:b/>
        </w:rPr>
        <w:t>monatliche Umsatz maximal € 2.</w:t>
      </w:r>
      <w:r w:rsidR="00AA1E93" w:rsidRPr="00DC4248">
        <w:rPr>
          <w:rFonts w:cs="Arial"/>
          <w:b/>
        </w:rPr>
        <w:t>916,67</w:t>
      </w:r>
      <w:r w:rsidR="00B91056" w:rsidRPr="00DC4248">
        <w:rPr>
          <w:rFonts w:cs="Arial"/>
          <w:b/>
        </w:rPr>
        <w:t xml:space="preserve"> </w:t>
      </w:r>
      <w:r w:rsidR="00B91056" w:rsidRPr="00DC4248">
        <w:rPr>
          <w:rFonts w:cs="Arial"/>
        </w:rPr>
        <w:t>betr</w:t>
      </w:r>
      <w:r w:rsidR="00DE18AB" w:rsidRPr="00DC4248">
        <w:rPr>
          <w:rFonts w:cs="Arial"/>
        </w:rPr>
        <w:t>a</w:t>
      </w:r>
      <w:r w:rsidR="00B91056" w:rsidRPr="00DC4248">
        <w:rPr>
          <w:rFonts w:cs="Arial"/>
        </w:rPr>
        <w:t>g</w:t>
      </w:r>
      <w:r w:rsidRPr="00DC4248">
        <w:rPr>
          <w:rFonts w:cs="Arial"/>
        </w:rPr>
        <w:t>en</w:t>
      </w:r>
      <w:r w:rsidR="00B91056" w:rsidRPr="00DC4248">
        <w:rPr>
          <w:rFonts w:cs="Arial"/>
        </w:rPr>
        <w:t>.</w:t>
      </w:r>
    </w:p>
    <w:p w:rsidR="00B91056" w:rsidRPr="00DC4248" w:rsidRDefault="00B91056" w:rsidP="00B952A7">
      <w:pPr>
        <w:spacing w:line="276" w:lineRule="auto"/>
        <w:jc w:val="both"/>
        <w:rPr>
          <w:rFonts w:cs="Arial"/>
        </w:rPr>
      </w:pPr>
    </w:p>
    <w:p w:rsidR="005C1050" w:rsidRPr="00DC4248" w:rsidRDefault="00F05EF1" w:rsidP="007A7F65">
      <w:pPr>
        <w:shd w:val="clear" w:color="auto" w:fill="FBD4B4" w:themeFill="accent6" w:themeFillTint="66"/>
        <w:spacing w:line="276" w:lineRule="auto"/>
      </w:pPr>
      <w:r w:rsidRPr="00DC4248">
        <w:rPr>
          <w:b/>
          <w:bCs/>
        </w:rPr>
        <w:t>TIPP</w:t>
      </w:r>
      <w:r w:rsidRPr="00DC4248">
        <w:t>: Der Antrag für 20</w:t>
      </w:r>
      <w:r w:rsidR="00F30AB9" w:rsidRPr="00DC4248">
        <w:t>2</w:t>
      </w:r>
      <w:r w:rsidR="00DC4248" w:rsidRPr="00DC4248">
        <w:t>2</w:t>
      </w:r>
      <w:r w:rsidRPr="00DC4248">
        <w:t xml:space="preserve"> muss spätestens am 31.12.20</w:t>
      </w:r>
      <w:r w:rsidR="00F30AB9" w:rsidRPr="00DC4248">
        <w:t>2</w:t>
      </w:r>
      <w:r w:rsidR="00DC4248" w:rsidRPr="00DC4248">
        <w:t>2</w:t>
      </w:r>
      <w:r w:rsidRPr="00DC4248">
        <w:t xml:space="preserve"> bei der </w:t>
      </w:r>
      <w:r w:rsidR="000B630A" w:rsidRPr="00DC4248">
        <w:t>SVS</w:t>
      </w:r>
      <w:r w:rsidRPr="00DC4248">
        <w:t xml:space="preserve"> einlangen. Wurden im Jahr 20</w:t>
      </w:r>
      <w:r w:rsidR="00F30AB9" w:rsidRPr="00DC4248">
        <w:t>2</w:t>
      </w:r>
      <w:r w:rsidR="00480180" w:rsidRPr="00480180">
        <w:rPr>
          <w:b/>
          <w:bCs/>
          <w:color w:val="7030A0"/>
        </w:rPr>
        <w:t>2</w:t>
      </w:r>
      <w:r w:rsidRPr="00DC4248">
        <w:t xml:space="preserve"> bereits Leistungen aus der Krankenversicherung bezogen, gilt die Befreiung von KV-Beiträgen erst ab Einlangen des Antrags</w:t>
      </w:r>
      <w:r w:rsidR="00F30AB9" w:rsidRPr="00DC4248">
        <w:t>.</w:t>
      </w:r>
    </w:p>
    <w:p w:rsidR="00642F5E" w:rsidRDefault="00642F5E" w:rsidP="00B952A7">
      <w:pPr>
        <w:spacing w:line="276" w:lineRule="auto"/>
        <w:jc w:val="both"/>
        <w:rPr>
          <w:rFonts w:cs="Arial"/>
        </w:rPr>
      </w:pPr>
    </w:p>
    <w:p w:rsidR="007F3421" w:rsidRDefault="007F3421">
      <w:pPr>
        <w:spacing w:after="200" w:line="276" w:lineRule="auto"/>
        <w:rPr>
          <w:rFonts w:cs="Arial"/>
        </w:rPr>
      </w:pPr>
      <w:r>
        <w:rPr>
          <w:rFonts w:cs="Arial"/>
        </w:rPr>
        <w:br w:type="page"/>
      </w:r>
    </w:p>
    <w:p w:rsidR="00EE4F1D" w:rsidRPr="00DC4248" w:rsidRDefault="00EE4F1D" w:rsidP="00B952A7">
      <w:pPr>
        <w:spacing w:line="276" w:lineRule="auto"/>
        <w:jc w:val="both"/>
        <w:rPr>
          <w:rFonts w:cs="Arial"/>
        </w:rPr>
      </w:pPr>
    </w:p>
    <w:p w:rsidR="00DC4248" w:rsidRPr="00EE4F1D" w:rsidRDefault="00EE4F1D" w:rsidP="00EE4F1D">
      <w:pPr>
        <w:pStyle w:val="berschrift1"/>
        <w:spacing w:line="276" w:lineRule="auto"/>
        <w:rPr>
          <w:color w:val="E36C0A" w:themeColor="accent6" w:themeShade="BF"/>
          <w:sz w:val="24"/>
          <w:szCs w:val="24"/>
          <w:u w:val="none"/>
        </w:rPr>
      </w:pPr>
      <w:bookmarkStart w:id="107" w:name="_Toc116494070"/>
      <w:bookmarkStart w:id="108" w:name="_Toc116923147"/>
      <w:r w:rsidRPr="00EE4F1D">
        <w:rPr>
          <w:color w:val="E36C0A" w:themeColor="accent6" w:themeShade="BF"/>
          <w:sz w:val="24"/>
          <w:szCs w:val="24"/>
          <w:u w:val="none"/>
        </w:rPr>
        <w:t>ARBEITSPLATZPAUSCHALE UND NETZKARTE FÜR SELBSTÄNDIGE</w:t>
      </w:r>
      <w:bookmarkEnd w:id="107"/>
      <w:bookmarkEnd w:id="108"/>
    </w:p>
    <w:p w:rsidR="00DC4248" w:rsidRPr="00EE4F1D" w:rsidRDefault="00480180" w:rsidP="00EE4F1D">
      <w:pPr>
        <w:spacing w:line="276" w:lineRule="auto"/>
        <w:jc w:val="both"/>
        <w:rPr>
          <w:rFonts w:cs="Arial"/>
        </w:rPr>
      </w:pPr>
      <w:r w:rsidRPr="00EE4F1D">
        <w:rPr>
          <w:rFonts w:cs="Arial"/>
        </w:rPr>
        <w:t xml:space="preserve">Was für Arbeitnehmer als Homeoffice-Pauschale im Jahr 2021 eingeführt wurde, können nun Selbständige als </w:t>
      </w:r>
      <w:r w:rsidRPr="00EE4F1D">
        <w:rPr>
          <w:rFonts w:cs="Arial"/>
          <w:b/>
          <w:bCs/>
        </w:rPr>
        <w:t>Arbeits</w:t>
      </w:r>
      <w:r w:rsidR="00DC4248" w:rsidRPr="00EE4F1D">
        <w:rPr>
          <w:rFonts w:cs="Arial"/>
          <w:b/>
          <w:bCs/>
        </w:rPr>
        <w:t>platzpauschale</w:t>
      </w:r>
      <w:r w:rsidR="00DC4248" w:rsidRPr="00EE4F1D">
        <w:rPr>
          <w:rFonts w:cs="Arial"/>
        </w:rPr>
        <w:t xml:space="preserve"> ab dem Jahr 2022 </w:t>
      </w:r>
      <w:r w:rsidRPr="00EE4F1D">
        <w:rPr>
          <w:rFonts w:cs="Arial"/>
        </w:rPr>
        <w:t>geltend machen.</w:t>
      </w:r>
      <w:r w:rsidR="00263936" w:rsidRPr="00EE4F1D">
        <w:rPr>
          <w:rFonts w:cs="Arial"/>
        </w:rPr>
        <w:t xml:space="preserve"> </w:t>
      </w:r>
      <w:r w:rsidR="00DC4248" w:rsidRPr="00EE4F1D">
        <w:rPr>
          <w:rFonts w:cs="Arial"/>
        </w:rPr>
        <w:t>Das</w:t>
      </w:r>
      <w:r w:rsidR="00205F5C" w:rsidRPr="00EE4F1D">
        <w:rPr>
          <w:rFonts w:cs="Arial"/>
        </w:rPr>
        <w:t xml:space="preserve"> </w:t>
      </w:r>
      <w:r w:rsidR="00DC4248" w:rsidRPr="00EE4F1D">
        <w:rPr>
          <w:rFonts w:cs="Arial"/>
        </w:rPr>
        <w:t>Arbeitsplatzpauschale steht für Aufwendungen aus der (teilweise) betrieblichen Nutzung der eigenen Wohnung zu, wenn kein anderer Raum für die betriebliche Tätigkeit zur Verfügung steht. Es wird zwischen dem „große</w:t>
      </w:r>
      <w:r w:rsidR="00EF67AE">
        <w:rPr>
          <w:rFonts w:cs="Arial"/>
        </w:rPr>
        <w:t>n</w:t>
      </w:r>
      <w:r w:rsidR="00DC4248" w:rsidRPr="00EE4F1D">
        <w:rPr>
          <w:rFonts w:cs="Arial"/>
        </w:rPr>
        <w:t xml:space="preserve">“ und </w:t>
      </w:r>
      <w:r w:rsidR="00EF67AE">
        <w:rPr>
          <w:rFonts w:cs="Arial"/>
        </w:rPr>
        <w:t xml:space="preserve">dem </w:t>
      </w:r>
      <w:r w:rsidR="00DC4248" w:rsidRPr="00EE4F1D">
        <w:rPr>
          <w:rFonts w:cs="Arial"/>
        </w:rPr>
        <w:t>„kleine</w:t>
      </w:r>
      <w:r w:rsidR="00EF67AE">
        <w:rPr>
          <w:rFonts w:cs="Arial"/>
        </w:rPr>
        <w:t>n</w:t>
      </w:r>
      <w:r w:rsidR="00DC4248" w:rsidRPr="00EE4F1D">
        <w:rPr>
          <w:rFonts w:cs="Arial"/>
        </w:rPr>
        <w:t>“ Pauschale unterschieden:</w:t>
      </w:r>
    </w:p>
    <w:p w:rsidR="00DC4248" w:rsidRPr="00014D6D" w:rsidRDefault="00DC4248" w:rsidP="005349C1">
      <w:pPr>
        <w:pStyle w:val="Listenabsatz"/>
        <w:numPr>
          <w:ilvl w:val="0"/>
          <w:numId w:val="13"/>
        </w:numPr>
        <w:spacing w:line="276" w:lineRule="auto"/>
        <w:ind w:left="567" w:hanging="283"/>
        <w:jc w:val="both"/>
        <w:rPr>
          <w:rFonts w:cs="Arial"/>
        </w:rPr>
      </w:pPr>
      <w:r w:rsidRPr="00480180">
        <w:rPr>
          <w:rFonts w:cs="Arial"/>
          <w:b/>
          <w:bCs/>
        </w:rPr>
        <w:t>€ 1.200</w:t>
      </w:r>
      <w:r w:rsidRPr="00014D6D">
        <w:rPr>
          <w:rFonts w:cs="Arial"/>
        </w:rPr>
        <w:t xml:space="preserve"> pro Jahr steh</w:t>
      </w:r>
      <w:r w:rsidR="00EF67AE">
        <w:rPr>
          <w:rFonts w:cs="Arial"/>
        </w:rPr>
        <w:t>en</w:t>
      </w:r>
      <w:r w:rsidRPr="00014D6D">
        <w:rPr>
          <w:rFonts w:cs="Arial"/>
        </w:rPr>
        <w:t xml:space="preserve"> zu, wenn </w:t>
      </w:r>
      <w:r w:rsidR="00541451" w:rsidRPr="00480180">
        <w:rPr>
          <w:rFonts w:cs="Arial"/>
          <w:b/>
          <w:bCs/>
        </w:rPr>
        <w:t xml:space="preserve">keine </w:t>
      </w:r>
      <w:r w:rsidRPr="00480180">
        <w:rPr>
          <w:rFonts w:cs="Arial"/>
          <w:b/>
          <w:bCs/>
        </w:rPr>
        <w:t>andere</w:t>
      </w:r>
      <w:r w:rsidR="00541451" w:rsidRPr="00480180">
        <w:rPr>
          <w:rFonts w:cs="Arial"/>
          <w:b/>
          <w:bCs/>
        </w:rPr>
        <w:t>n</w:t>
      </w:r>
      <w:r w:rsidRPr="00480180">
        <w:rPr>
          <w:rFonts w:cs="Arial"/>
          <w:b/>
          <w:bCs/>
        </w:rPr>
        <w:t xml:space="preserve"> Einkünfte</w:t>
      </w:r>
      <w:r w:rsidRPr="00014D6D">
        <w:rPr>
          <w:rFonts w:cs="Arial"/>
        </w:rPr>
        <w:t xml:space="preserve"> </w:t>
      </w:r>
      <w:r w:rsidR="0079386B">
        <w:rPr>
          <w:rFonts w:cs="Arial"/>
        </w:rPr>
        <w:t xml:space="preserve">aus einer aktiven Erwerbstätigkeit </w:t>
      </w:r>
      <w:r w:rsidRPr="00014D6D">
        <w:rPr>
          <w:rFonts w:cs="Arial"/>
        </w:rPr>
        <w:t xml:space="preserve">von </w:t>
      </w:r>
      <w:r w:rsidR="00541451" w:rsidRPr="00014D6D">
        <w:rPr>
          <w:rFonts w:cs="Arial"/>
        </w:rPr>
        <w:t xml:space="preserve">mehr als </w:t>
      </w:r>
      <w:r w:rsidRPr="00014D6D">
        <w:rPr>
          <w:rFonts w:cs="Arial"/>
        </w:rPr>
        <w:t xml:space="preserve">€ 11.000 erzielt werden, für die </w:t>
      </w:r>
      <w:r w:rsidR="00541451" w:rsidRPr="00014D6D">
        <w:rPr>
          <w:rFonts w:cs="Arial"/>
        </w:rPr>
        <w:t xml:space="preserve">außerhalb der Wohnung </w:t>
      </w:r>
      <w:r w:rsidRPr="00014D6D">
        <w:rPr>
          <w:rFonts w:cs="Arial"/>
        </w:rPr>
        <w:t>ein anderer Raum zur Verfügung steht</w:t>
      </w:r>
      <w:r w:rsidR="00541451" w:rsidRPr="00014D6D">
        <w:rPr>
          <w:rFonts w:cs="Arial"/>
        </w:rPr>
        <w:t>.</w:t>
      </w:r>
    </w:p>
    <w:p w:rsidR="00DC4248" w:rsidRDefault="00DC4248" w:rsidP="005349C1">
      <w:pPr>
        <w:pStyle w:val="Listenabsatz"/>
        <w:numPr>
          <w:ilvl w:val="0"/>
          <w:numId w:val="13"/>
        </w:numPr>
        <w:spacing w:line="276" w:lineRule="auto"/>
        <w:ind w:left="567" w:hanging="283"/>
        <w:jc w:val="both"/>
        <w:rPr>
          <w:rFonts w:cs="Arial"/>
        </w:rPr>
      </w:pPr>
      <w:r w:rsidRPr="00480180">
        <w:rPr>
          <w:rFonts w:cs="Arial"/>
          <w:b/>
          <w:bCs/>
        </w:rPr>
        <w:t>€ 300</w:t>
      </w:r>
      <w:r w:rsidRPr="00014D6D">
        <w:rPr>
          <w:rFonts w:cs="Arial"/>
        </w:rPr>
        <w:t xml:space="preserve"> pro Jahr steh</w:t>
      </w:r>
      <w:r w:rsidR="00EF67AE">
        <w:rPr>
          <w:rFonts w:cs="Arial"/>
        </w:rPr>
        <w:t>en</w:t>
      </w:r>
      <w:r w:rsidRPr="00014D6D">
        <w:rPr>
          <w:rFonts w:cs="Arial"/>
        </w:rPr>
        <w:t xml:space="preserve"> zu, </w:t>
      </w:r>
      <w:r w:rsidRPr="00480180">
        <w:rPr>
          <w:rFonts w:cs="Arial"/>
          <w:b/>
          <w:bCs/>
        </w:rPr>
        <w:t xml:space="preserve">wenn </w:t>
      </w:r>
      <w:r w:rsidR="0079386B">
        <w:rPr>
          <w:rFonts w:cs="Arial"/>
          <w:b/>
          <w:bCs/>
        </w:rPr>
        <w:t xml:space="preserve">die </w:t>
      </w:r>
      <w:r w:rsidRPr="00480180">
        <w:rPr>
          <w:rFonts w:cs="Arial"/>
          <w:b/>
          <w:bCs/>
        </w:rPr>
        <w:t>andere</w:t>
      </w:r>
      <w:r w:rsidR="0079386B">
        <w:rPr>
          <w:rFonts w:cs="Arial"/>
          <w:b/>
          <w:bCs/>
        </w:rPr>
        <w:t>n</w:t>
      </w:r>
      <w:r w:rsidRPr="00480180">
        <w:rPr>
          <w:rFonts w:cs="Arial"/>
          <w:b/>
          <w:bCs/>
        </w:rPr>
        <w:t xml:space="preserve"> </w:t>
      </w:r>
      <w:r w:rsidR="0079386B">
        <w:rPr>
          <w:rFonts w:cs="Arial"/>
          <w:b/>
          <w:bCs/>
        </w:rPr>
        <w:t>Aktive</w:t>
      </w:r>
      <w:r w:rsidRPr="00480180">
        <w:rPr>
          <w:rFonts w:cs="Arial"/>
          <w:b/>
          <w:bCs/>
        </w:rPr>
        <w:t>inkünfte</w:t>
      </w:r>
      <w:r w:rsidRPr="00014D6D">
        <w:rPr>
          <w:rFonts w:cs="Arial"/>
        </w:rPr>
        <w:t xml:space="preserve"> mehr als € 11.000 </w:t>
      </w:r>
      <w:r w:rsidR="0079386B">
        <w:rPr>
          <w:rFonts w:cs="Arial"/>
        </w:rPr>
        <w:t>betragen</w:t>
      </w:r>
      <w:r w:rsidRPr="00014D6D">
        <w:rPr>
          <w:rFonts w:cs="Arial"/>
        </w:rPr>
        <w:t>. Daneben sind Aufwendungen für ergonomisches Mobiliar abzugsfähig (ebenfalls max € 300 pro Jahr).</w:t>
      </w:r>
    </w:p>
    <w:p w:rsidR="00EE5923" w:rsidRDefault="00EE5923" w:rsidP="00947C53">
      <w:pPr>
        <w:spacing w:line="276" w:lineRule="auto"/>
        <w:jc w:val="both"/>
        <w:rPr>
          <w:rFonts w:cs="Arial"/>
        </w:rPr>
      </w:pPr>
    </w:p>
    <w:p w:rsidR="00947C53" w:rsidRDefault="00947C53" w:rsidP="00947C53">
      <w:pPr>
        <w:spacing w:line="276" w:lineRule="auto"/>
        <w:jc w:val="both"/>
        <w:rPr>
          <w:rFonts w:cs="Arial"/>
        </w:rPr>
      </w:pPr>
      <w:r>
        <w:rPr>
          <w:rFonts w:cs="Arial"/>
        </w:rPr>
        <w:t xml:space="preserve">Ab heuer können auch Selbständige </w:t>
      </w:r>
      <w:r w:rsidRPr="0057162D">
        <w:rPr>
          <w:rFonts w:cs="Arial"/>
          <w:b/>
          <w:bCs/>
        </w:rPr>
        <w:t xml:space="preserve">50% der Ausgaben </w:t>
      </w:r>
      <w:r w:rsidR="00BA2350" w:rsidRPr="0057162D">
        <w:rPr>
          <w:rFonts w:cs="Arial"/>
          <w:b/>
          <w:bCs/>
        </w:rPr>
        <w:t>für eine Wochen-, Monats- oder Jahreskarte</w:t>
      </w:r>
      <w:r w:rsidR="00BA2350">
        <w:rPr>
          <w:rFonts w:cs="Arial"/>
        </w:rPr>
        <w:t xml:space="preserve"> für Massenbeförderungsmittel </w:t>
      </w:r>
      <w:r w:rsidR="00BA2350" w:rsidRPr="0057162D">
        <w:rPr>
          <w:rFonts w:cs="Arial"/>
          <w:b/>
          <w:bCs/>
        </w:rPr>
        <w:t xml:space="preserve">pauschal </w:t>
      </w:r>
      <w:r w:rsidR="00BA2350">
        <w:rPr>
          <w:rFonts w:cs="Arial"/>
        </w:rPr>
        <w:t>als Betriebsausgaben absetzen, sofern diese auch für betriebliche Fahrten verwendet werden. Der Pauschalbetrag kann auch bei der Basispauschalierung oder der Kleinunternehmerpauschalierung als zusätzliche Betriebsausgabe berücksichtigt werden.</w:t>
      </w:r>
    </w:p>
    <w:p w:rsidR="00BA2350" w:rsidRDefault="00BA2350" w:rsidP="0057162D">
      <w:pPr>
        <w:spacing w:line="276" w:lineRule="auto"/>
        <w:jc w:val="both"/>
        <w:rPr>
          <w:rFonts w:cs="Arial"/>
        </w:rPr>
      </w:pPr>
    </w:p>
    <w:p w:rsidR="00EE4F1D" w:rsidRPr="00947C53" w:rsidRDefault="00EE4F1D" w:rsidP="0057162D">
      <w:pPr>
        <w:spacing w:line="276" w:lineRule="auto"/>
        <w:jc w:val="both"/>
        <w:rPr>
          <w:rFonts w:cs="Arial"/>
        </w:rPr>
      </w:pPr>
    </w:p>
    <w:p w:rsidR="00EE5923" w:rsidRPr="00EE4F1D" w:rsidRDefault="00EE4F1D" w:rsidP="00EE4F1D">
      <w:pPr>
        <w:pStyle w:val="berschrift1"/>
        <w:spacing w:line="276" w:lineRule="auto"/>
        <w:rPr>
          <w:color w:val="E36C0A" w:themeColor="accent6" w:themeShade="BF"/>
          <w:sz w:val="24"/>
          <w:szCs w:val="24"/>
          <w:u w:val="none"/>
        </w:rPr>
      </w:pPr>
      <w:bookmarkStart w:id="109" w:name="_Toc306629724"/>
      <w:bookmarkStart w:id="110" w:name="_Toc306632145"/>
      <w:bookmarkStart w:id="111" w:name="_Toc116494068"/>
      <w:bookmarkStart w:id="112" w:name="_Toc116923148"/>
      <w:r w:rsidRPr="00EE4F1D">
        <w:rPr>
          <w:color w:val="E36C0A" w:themeColor="accent6" w:themeShade="BF"/>
          <w:sz w:val="24"/>
          <w:szCs w:val="24"/>
          <w:u w:val="none"/>
        </w:rPr>
        <w:t>ENDE DER AUFBEWAHRUNG FÜR UNTERLAGEN AUS 20</w:t>
      </w:r>
      <w:bookmarkEnd w:id="109"/>
      <w:bookmarkEnd w:id="110"/>
      <w:r w:rsidRPr="00EE4F1D">
        <w:rPr>
          <w:color w:val="E36C0A" w:themeColor="accent6" w:themeShade="BF"/>
          <w:sz w:val="24"/>
          <w:szCs w:val="24"/>
          <w:u w:val="none"/>
        </w:rPr>
        <w:t>15</w:t>
      </w:r>
      <w:bookmarkEnd w:id="111"/>
      <w:bookmarkEnd w:id="112"/>
    </w:p>
    <w:p w:rsidR="00EE5923" w:rsidRPr="00047CB2" w:rsidRDefault="00EE5923" w:rsidP="00EE4F1D">
      <w:pPr>
        <w:spacing w:line="276" w:lineRule="auto"/>
        <w:jc w:val="both"/>
        <w:rPr>
          <w:rFonts w:cs="Arial"/>
        </w:rPr>
      </w:pPr>
      <w:bookmarkStart w:id="113" w:name="_Toc306629725"/>
      <w:bookmarkStart w:id="114" w:name="_Toc306631871"/>
      <w:bookmarkStart w:id="115" w:name="_Toc306632146"/>
      <w:bookmarkStart w:id="116" w:name="_Toc306693571"/>
      <w:r w:rsidRPr="00047CB2">
        <w:rPr>
          <w:rFonts w:cs="Arial"/>
        </w:rPr>
        <w:t xml:space="preserve">Zum 31.12.2022 läuft die </w:t>
      </w:r>
      <w:r w:rsidRPr="00047CB2">
        <w:rPr>
          <w:rFonts w:cs="Arial"/>
          <w:b/>
        </w:rPr>
        <w:t>7-jährige Aufbewahrungspflicht</w:t>
      </w:r>
      <w:r w:rsidRPr="00047CB2">
        <w:rPr>
          <w:rFonts w:cs="Arial"/>
        </w:rPr>
        <w:t xml:space="preserve"> für Bücher, Aufzeichnungen, Belege etc des Jahres 2015 aus. Diese können daher </w:t>
      </w:r>
      <w:r w:rsidRPr="00047CB2">
        <w:rPr>
          <w:rFonts w:cs="Arial"/>
          <w:b/>
          <w:bCs/>
        </w:rPr>
        <w:t>ab 1.1.2023 vernichtet</w:t>
      </w:r>
      <w:r w:rsidRPr="00047CB2">
        <w:rPr>
          <w:rFonts w:cs="Arial"/>
        </w:rPr>
        <w:t xml:space="preserve"> </w:t>
      </w:r>
      <w:r w:rsidRPr="00047CB2">
        <w:rPr>
          <w:rFonts w:cs="Arial"/>
          <w:b/>
          <w:bCs/>
        </w:rPr>
        <w:t>werden</w:t>
      </w:r>
      <w:r w:rsidRPr="00047CB2">
        <w:rPr>
          <w:rFonts w:cs="Arial"/>
        </w:rPr>
        <w:t xml:space="preserve">. Beachten Sie aber, dass Unterlagen dann weiter aufzubewahren sind, wenn sie in einem anhängigen Beschwerdeverfahren (lt BAO) oder für ein anhängiges gerichtliches oder behördliches Verfahren (lt UGB), in dem Ihnen Parteistellung zukommt, von Bedeutung sind. </w:t>
      </w:r>
      <w:bookmarkEnd w:id="113"/>
      <w:bookmarkEnd w:id="114"/>
      <w:bookmarkEnd w:id="115"/>
      <w:bookmarkEnd w:id="116"/>
    </w:p>
    <w:p w:rsidR="00EE5923" w:rsidRPr="00047CB2" w:rsidRDefault="00EE5923" w:rsidP="00EE5923">
      <w:pPr>
        <w:spacing w:line="276" w:lineRule="auto"/>
        <w:jc w:val="both"/>
        <w:rPr>
          <w:rFonts w:cs="Arial"/>
          <w:b/>
        </w:rPr>
      </w:pPr>
      <w:r w:rsidRPr="00047CB2">
        <w:rPr>
          <w:rFonts w:cs="Arial"/>
        </w:rPr>
        <w:t>Für Grundstücke, die ab dem 1.4.2012 erstmals unternehmerisch genutzt werden, gilt im Falle einer Änderung der Verhältnisse, die für den ursprünglichen Vorsteuerabzug maßgeblich waren, ein Berichtigungszeitraum für die Vorsteuer von 20 Jahren</w:t>
      </w:r>
      <w:r w:rsidRPr="00047CB2">
        <w:rPr>
          <w:rFonts w:cs="Arial"/>
          <w:b/>
        </w:rPr>
        <w:t xml:space="preserve">. Die Aufbewahrungsfrist </w:t>
      </w:r>
      <w:r w:rsidRPr="00047CB2">
        <w:rPr>
          <w:rFonts w:cs="Arial"/>
        </w:rPr>
        <w:t>für Unterlagen</w:t>
      </w:r>
      <w:r w:rsidRPr="00047CB2">
        <w:rPr>
          <w:rFonts w:cs="Arial"/>
          <w:b/>
        </w:rPr>
        <w:t xml:space="preserve"> </w:t>
      </w:r>
      <w:r w:rsidRPr="00047CB2">
        <w:rPr>
          <w:rFonts w:cs="Arial"/>
        </w:rPr>
        <w:t>derartiger</w:t>
      </w:r>
      <w:r w:rsidRPr="00047CB2">
        <w:rPr>
          <w:rFonts w:cs="Arial"/>
          <w:b/>
        </w:rPr>
        <w:t xml:space="preserve"> Grundstücke beträgt</w:t>
      </w:r>
      <w:r w:rsidRPr="00047CB2">
        <w:rPr>
          <w:rFonts w:cs="Arial"/>
        </w:rPr>
        <w:t xml:space="preserve"> </w:t>
      </w:r>
      <w:r w:rsidRPr="00047CB2">
        <w:rPr>
          <w:rFonts w:cs="Arial"/>
          <w:b/>
        </w:rPr>
        <w:t>22 Jahre.</w:t>
      </w:r>
    </w:p>
    <w:p w:rsidR="00EE5923" w:rsidRPr="00047CB2" w:rsidRDefault="00EE5923" w:rsidP="00EE5923">
      <w:pPr>
        <w:spacing w:line="276" w:lineRule="auto"/>
        <w:jc w:val="both"/>
        <w:rPr>
          <w:rFonts w:cs="Arial"/>
          <w:b/>
          <w:highlight w:val="yellow"/>
        </w:rPr>
      </w:pPr>
    </w:p>
    <w:p w:rsidR="00EE5923" w:rsidRPr="00047CB2" w:rsidRDefault="00EE5923" w:rsidP="00EE5923">
      <w:pPr>
        <w:shd w:val="clear" w:color="auto" w:fill="C6D9F1" w:themeFill="text2" w:themeFillTint="33"/>
        <w:spacing w:line="276" w:lineRule="auto"/>
        <w:jc w:val="both"/>
        <w:rPr>
          <w:rFonts w:cs="Arial"/>
          <w:bCs/>
        </w:rPr>
      </w:pPr>
      <w:r w:rsidRPr="00EE4F1D">
        <w:rPr>
          <w:rFonts w:cs="Arial"/>
          <w:b/>
        </w:rPr>
        <w:t>Hinweis</w:t>
      </w:r>
      <w:r w:rsidRPr="00047CB2">
        <w:rPr>
          <w:rFonts w:cs="Arial"/>
          <w:bCs/>
        </w:rPr>
        <w:t xml:space="preserve">: </w:t>
      </w:r>
      <w:r w:rsidRPr="00FE0CB5">
        <w:rPr>
          <w:rFonts w:cs="Arial"/>
          <w:b/>
        </w:rPr>
        <w:t>verlängerte Aufbewahrungsfrist</w:t>
      </w:r>
      <w:r w:rsidRPr="00047CB2">
        <w:rPr>
          <w:rFonts w:cs="Arial"/>
          <w:bCs/>
        </w:rPr>
        <w:t xml:space="preserve"> aller Unterlagen, Belege und Arbeitszeitaufzeichnungen </w:t>
      </w:r>
      <w:r w:rsidR="0046189C">
        <w:rPr>
          <w:rFonts w:cs="Arial"/>
          <w:bCs/>
        </w:rPr>
        <w:t>in Zusammenhang mit:</w:t>
      </w:r>
    </w:p>
    <w:p w:rsidR="00EE5923" w:rsidRPr="00FE0CB5" w:rsidRDefault="00EE5923" w:rsidP="005349C1">
      <w:pPr>
        <w:pStyle w:val="Listenabsatz"/>
        <w:numPr>
          <w:ilvl w:val="0"/>
          <w:numId w:val="8"/>
        </w:numPr>
        <w:shd w:val="clear" w:color="auto" w:fill="C6D9F1" w:themeFill="text2" w:themeFillTint="33"/>
        <w:spacing w:line="276" w:lineRule="auto"/>
        <w:ind w:left="284" w:hanging="284"/>
        <w:jc w:val="both"/>
        <w:rPr>
          <w:rFonts w:cs="Arial"/>
          <w:bCs/>
        </w:rPr>
      </w:pPr>
      <w:r w:rsidRPr="00FE0CB5">
        <w:rPr>
          <w:rFonts w:cs="Arial"/>
          <w:b/>
        </w:rPr>
        <w:t>Kurzarbeit</w:t>
      </w:r>
      <w:r w:rsidRPr="00FE0CB5">
        <w:rPr>
          <w:rFonts w:cs="Arial"/>
          <w:bCs/>
        </w:rPr>
        <w:t>: 10 Jahre ab Ende des Jahres der letzten Auszahlung der gesamten Förderung</w:t>
      </w:r>
    </w:p>
    <w:p w:rsidR="00EE5923" w:rsidRPr="00FE0CB5" w:rsidRDefault="00EE5923" w:rsidP="005349C1">
      <w:pPr>
        <w:pStyle w:val="Listenabsatz"/>
        <w:numPr>
          <w:ilvl w:val="0"/>
          <w:numId w:val="8"/>
        </w:numPr>
        <w:shd w:val="clear" w:color="auto" w:fill="C6D9F1" w:themeFill="text2" w:themeFillTint="33"/>
        <w:spacing w:line="276" w:lineRule="auto"/>
        <w:ind w:left="284" w:hanging="284"/>
        <w:jc w:val="both"/>
        <w:rPr>
          <w:rFonts w:cs="Arial"/>
          <w:bCs/>
        </w:rPr>
      </w:pPr>
      <w:r w:rsidRPr="00FE0CB5">
        <w:rPr>
          <w:rFonts w:cs="Arial"/>
          <w:b/>
        </w:rPr>
        <w:t>Investitionsprämie</w:t>
      </w:r>
      <w:r w:rsidRPr="00FE0CB5">
        <w:rPr>
          <w:rFonts w:cs="Arial"/>
          <w:bCs/>
        </w:rPr>
        <w:t xml:space="preserve">: 10 Jahre </w:t>
      </w:r>
      <w:r>
        <w:rPr>
          <w:rFonts w:cs="Arial"/>
          <w:bCs/>
        </w:rPr>
        <w:t>ab</w:t>
      </w:r>
      <w:r w:rsidRPr="00FE0CB5">
        <w:rPr>
          <w:rFonts w:cs="Arial"/>
          <w:bCs/>
        </w:rPr>
        <w:t xml:space="preserve"> Ende des Kalenderjahres der letzten Auszahlung</w:t>
      </w:r>
    </w:p>
    <w:p w:rsidR="00EE5923" w:rsidRPr="00FE0CB5" w:rsidRDefault="00EE5923" w:rsidP="005349C1">
      <w:pPr>
        <w:pStyle w:val="Listenabsatz"/>
        <w:numPr>
          <w:ilvl w:val="0"/>
          <w:numId w:val="8"/>
        </w:numPr>
        <w:shd w:val="clear" w:color="auto" w:fill="C6D9F1" w:themeFill="text2" w:themeFillTint="33"/>
        <w:spacing w:line="276" w:lineRule="auto"/>
        <w:ind w:left="284" w:hanging="284"/>
        <w:jc w:val="both"/>
        <w:rPr>
          <w:rFonts w:cs="Arial"/>
          <w:bCs/>
        </w:rPr>
      </w:pPr>
      <w:r w:rsidRPr="00FE0CB5">
        <w:rPr>
          <w:rFonts w:cs="Arial"/>
          <w:b/>
        </w:rPr>
        <w:t>COFAG</w:t>
      </w:r>
      <w:r w:rsidRPr="00FE0CB5">
        <w:rPr>
          <w:rFonts w:cs="Arial"/>
          <w:bCs/>
        </w:rPr>
        <w:t>-Förderbedingungen: 7 Jahre</w:t>
      </w:r>
    </w:p>
    <w:p w:rsidR="00EE5923" w:rsidRPr="00047CB2" w:rsidRDefault="00EE5923" w:rsidP="00EE5923">
      <w:pPr>
        <w:spacing w:line="276" w:lineRule="auto"/>
        <w:jc w:val="both"/>
        <w:rPr>
          <w:rFonts w:cs="Arial"/>
          <w:b/>
          <w:highlight w:val="yellow"/>
        </w:rPr>
      </w:pPr>
    </w:p>
    <w:p w:rsidR="00EE5923" w:rsidRPr="00EE4F1D" w:rsidRDefault="00EE5923" w:rsidP="00EE5923">
      <w:pPr>
        <w:shd w:val="clear" w:color="auto" w:fill="FBD4B4" w:themeFill="accent6" w:themeFillTint="66"/>
        <w:spacing w:line="276" w:lineRule="auto"/>
        <w:jc w:val="both"/>
        <w:rPr>
          <w:rFonts w:cs="Arial"/>
          <w:b/>
        </w:rPr>
      </w:pPr>
      <w:r w:rsidRPr="00047CB2">
        <w:rPr>
          <w:rFonts w:cs="Arial"/>
          <w:b/>
        </w:rPr>
        <w:t>TIPP</w:t>
      </w:r>
      <w:r w:rsidRPr="00047CB2">
        <w:rPr>
          <w:rFonts w:cs="Arial"/>
        </w:rPr>
        <w:t xml:space="preserve">: Unabhängig von den gesetzlichen Bestimmungen sollten Sie </w:t>
      </w:r>
      <w:r w:rsidRPr="00047CB2">
        <w:rPr>
          <w:rFonts w:cs="Arial"/>
          <w:b/>
        </w:rPr>
        <w:t>als Privatperson sämtliche Belege</w:t>
      </w:r>
      <w:r w:rsidRPr="00047CB2">
        <w:rPr>
          <w:rFonts w:cs="Arial"/>
        </w:rPr>
        <w:t xml:space="preserve"> </w:t>
      </w:r>
      <w:r w:rsidRPr="00047CB2">
        <w:rPr>
          <w:rFonts w:cs="Arial"/>
          <w:b/>
        </w:rPr>
        <w:t>im Zusammenhang mit Grundstücken aufbewahren</w:t>
      </w:r>
      <w:r w:rsidRPr="00047CB2">
        <w:rPr>
          <w:rFonts w:cs="Arial"/>
        </w:rPr>
        <w:t xml:space="preserve">. Dazu zählen neben dem Kaufvertrag vor allem auch die Belege über Anschaffungsnebenkosten (zB Anwalts- und Notarkosten, Grunderwerbsteuer, Schätzkosten) sowie über alle nach dem Kauf durchgeführten Investitionen. </w:t>
      </w:r>
      <w:r w:rsidRPr="00EE4F1D">
        <w:rPr>
          <w:rFonts w:cs="Arial"/>
        </w:rPr>
        <w:t xml:space="preserve">All diese Kosten erhöhen nämlich </w:t>
      </w:r>
      <w:r w:rsidRPr="00EE4F1D">
        <w:rPr>
          <w:rFonts w:cs="Arial"/>
          <w:b/>
        </w:rPr>
        <w:t>bei der Ermittlung des Veräußerungsgewinn</w:t>
      </w:r>
      <w:r w:rsidR="00B37736" w:rsidRPr="00EE4F1D">
        <w:rPr>
          <w:rFonts w:cs="Arial"/>
          <w:b/>
        </w:rPr>
        <w:t>s</w:t>
      </w:r>
      <w:r w:rsidRPr="00EE4F1D">
        <w:rPr>
          <w:rFonts w:cs="Arial"/>
        </w:rPr>
        <w:t xml:space="preserve"> die tatsächlichen Anschaffungskosten und reduzieren damit den steuerpflichtigen Gewinn.</w:t>
      </w:r>
    </w:p>
    <w:p w:rsidR="00EE5923" w:rsidRPr="00047CB2" w:rsidRDefault="00EE5923" w:rsidP="00EE5923">
      <w:pPr>
        <w:spacing w:line="276" w:lineRule="auto"/>
        <w:jc w:val="both"/>
        <w:rPr>
          <w:rFonts w:cs="Arial"/>
        </w:rPr>
      </w:pPr>
    </w:p>
    <w:p w:rsidR="00EE5923" w:rsidRPr="00047CB2" w:rsidRDefault="00EF67AE" w:rsidP="00EE5923">
      <w:pPr>
        <w:spacing w:line="276" w:lineRule="auto"/>
        <w:jc w:val="both"/>
        <w:rPr>
          <w:rFonts w:cs="Arial"/>
        </w:rPr>
      </w:pPr>
      <w:r>
        <w:rPr>
          <w:rFonts w:cs="Arial"/>
        </w:rPr>
        <w:t>P</w:t>
      </w:r>
      <w:r w:rsidR="00EE5923" w:rsidRPr="00047CB2">
        <w:rPr>
          <w:rFonts w:cs="Arial"/>
        </w:rPr>
        <w:t xml:space="preserve">latzsparender ist eine </w:t>
      </w:r>
      <w:r w:rsidR="00EE5923" w:rsidRPr="00047CB2">
        <w:rPr>
          <w:rFonts w:cs="Arial"/>
          <w:b/>
          <w:bCs/>
        </w:rPr>
        <w:t>elektronische</w:t>
      </w:r>
      <w:r w:rsidR="00EE5923" w:rsidRPr="00047CB2">
        <w:rPr>
          <w:rFonts w:cs="Arial"/>
        </w:rPr>
        <w:t xml:space="preserve"> </w:t>
      </w:r>
      <w:r w:rsidR="00EE5923" w:rsidRPr="00047CB2">
        <w:rPr>
          <w:rFonts w:cs="Arial"/>
          <w:b/>
          <w:bCs/>
        </w:rPr>
        <w:t>Archivierung</w:t>
      </w:r>
      <w:r w:rsidR="00EE5923" w:rsidRPr="00047CB2">
        <w:rPr>
          <w:rFonts w:cs="Arial"/>
        </w:rPr>
        <w:t xml:space="preserve"> aller Buchhaltungsunterlagen. In diesem Fall ist darauf zu achten, dass die inhaltsgleiche, vollständige und geordnete Wiedergabe bis zum Ablauf der gesetzlichen Aufbewahrungsfrist jederzeit gewährleistet ist.</w:t>
      </w:r>
    </w:p>
    <w:p w:rsidR="00EE5923" w:rsidRPr="00047CB2" w:rsidRDefault="00EE5923" w:rsidP="00EE5923">
      <w:pPr>
        <w:spacing w:line="276" w:lineRule="auto"/>
        <w:rPr>
          <w:rFonts w:cs="Arial"/>
        </w:rPr>
      </w:pPr>
    </w:p>
    <w:p w:rsidR="00EE5923" w:rsidRPr="00EE5923" w:rsidRDefault="00EE5923" w:rsidP="00EE5923">
      <w:pPr>
        <w:spacing w:line="276" w:lineRule="auto"/>
        <w:jc w:val="both"/>
        <w:rPr>
          <w:rFonts w:cs="Arial"/>
        </w:rPr>
      </w:pPr>
    </w:p>
    <w:p w:rsidR="00BF45A2" w:rsidRDefault="00BF45A2">
      <w:pPr>
        <w:spacing w:after="200" w:line="276" w:lineRule="auto"/>
      </w:pPr>
      <w:r>
        <w:br w:type="page"/>
      </w:r>
    </w:p>
    <w:tbl>
      <w:tblPr>
        <w:tblW w:w="5000" w:type="pct"/>
        <w:tblInd w:w="-5" w:type="dxa"/>
        <w:shd w:val="clear" w:color="auto" w:fill="D9D9D9" w:themeFill="background1" w:themeFillShade="D9"/>
        <w:tblLook w:val="0000" w:firstRow="0" w:lastRow="0" w:firstColumn="0" w:lastColumn="0" w:noHBand="0" w:noVBand="0"/>
      </w:tblPr>
      <w:tblGrid>
        <w:gridCol w:w="9430"/>
      </w:tblGrid>
      <w:tr w:rsidR="00B91056" w:rsidRPr="00DC4248" w:rsidTr="00642F5E">
        <w:trPr>
          <w:cantSplit/>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91056" w:rsidRPr="00DC4248" w:rsidRDefault="00B91056" w:rsidP="00B952A7">
            <w:pPr>
              <w:spacing w:line="276" w:lineRule="auto"/>
              <w:jc w:val="center"/>
              <w:outlineLvl w:val="0"/>
              <w:rPr>
                <w:rFonts w:cs="Arial"/>
                <w:b/>
                <w:sz w:val="40"/>
                <w:szCs w:val="40"/>
              </w:rPr>
            </w:pPr>
            <w:r w:rsidRPr="00DC4248">
              <w:rPr>
                <w:rFonts w:cs="Arial"/>
                <w:sz w:val="40"/>
                <w:szCs w:val="40"/>
              </w:rPr>
              <w:br w:type="page"/>
            </w:r>
            <w:bookmarkStart w:id="117" w:name="_Toc306693575"/>
            <w:bookmarkStart w:id="118" w:name="_Toc306800344"/>
            <w:bookmarkStart w:id="119" w:name="_Toc116494071"/>
            <w:bookmarkStart w:id="120" w:name="_Toc116923149"/>
            <w:r w:rsidRPr="00DC4248">
              <w:rPr>
                <w:rFonts w:cs="Arial"/>
                <w:b/>
                <w:sz w:val="40"/>
                <w:szCs w:val="40"/>
              </w:rPr>
              <w:t>Steuertipps für Arbeitgeber &amp; Mitarbeiter</w:t>
            </w:r>
            <w:bookmarkEnd w:id="117"/>
            <w:bookmarkEnd w:id="118"/>
            <w:bookmarkEnd w:id="119"/>
            <w:bookmarkEnd w:id="120"/>
          </w:p>
        </w:tc>
      </w:tr>
    </w:tbl>
    <w:p w:rsidR="00B91056" w:rsidRDefault="00B91056" w:rsidP="00B952A7">
      <w:pPr>
        <w:overflowPunct w:val="0"/>
        <w:autoSpaceDE w:val="0"/>
        <w:autoSpaceDN w:val="0"/>
        <w:adjustRightInd w:val="0"/>
        <w:spacing w:line="276" w:lineRule="auto"/>
        <w:jc w:val="both"/>
        <w:textAlignment w:val="baseline"/>
        <w:outlineLvl w:val="1"/>
        <w:rPr>
          <w:rFonts w:cs="Arial"/>
          <w:b/>
        </w:rPr>
      </w:pPr>
      <w:bookmarkStart w:id="121" w:name="_Toc306693576"/>
    </w:p>
    <w:p w:rsidR="003C6603" w:rsidRPr="00EE4F1D" w:rsidRDefault="003C6603" w:rsidP="00E02135">
      <w:r w:rsidRPr="00EE4F1D">
        <w:t>„Mehr Netto vom Brutto</w:t>
      </w:r>
      <w:r w:rsidR="007A7F65">
        <w:t xml:space="preserve"> für Mitarbeiter</w:t>
      </w:r>
      <w:r w:rsidRPr="00EE4F1D">
        <w:t xml:space="preserve">“ </w:t>
      </w:r>
      <w:r w:rsidR="007A7F65">
        <w:t xml:space="preserve">– so </w:t>
      </w:r>
      <w:r w:rsidRPr="00EE4F1D">
        <w:t xml:space="preserve">könnte das Motto lauten, wenn Sie </w:t>
      </w:r>
      <w:r w:rsidR="007A7F65">
        <w:t xml:space="preserve">durch steuerliche Zuckerl </w:t>
      </w:r>
      <w:r w:rsidRPr="00EE4F1D">
        <w:t>Mitarbeiter</w:t>
      </w:r>
      <w:r w:rsidR="007A7F65">
        <w:t xml:space="preserve"> gewinnen und binden w</w:t>
      </w:r>
      <w:r w:rsidRPr="00EE4F1D">
        <w:t>ollen.</w:t>
      </w:r>
    </w:p>
    <w:p w:rsidR="003C6603" w:rsidRPr="003C6603" w:rsidRDefault="003C6603" w:rsidP="00B952A7">
      <w:pPr>
        <w:overflowPunct w:val="0"/>
        <w:autoSpaceDE w:val="0"/>
        <w:autoSpaceDN w:val="0"/>
        <w:adjustRightInd w:val="0"/>
        <w:spacing w:line="276" w:lineRule="auto"/>
        <w:jc w:val="both"/>
        <w:textAlignment w:val="baseline"/>
        <w:outlineLvl w:val="1"/>
        <w:rPr>
          <w:rFonts w:cs="Arial"/>
          <w:bCs/>
        </w:rPr>
      </w:pPr>
    </w:p>
    <w:p w:rsidR="00B91056" w:rsidRPr="007359AA" w:rsidRDefault="00E5792C" w:rsidP="007359AA">
      <w:pPr>
        <w:pStyle w:val="berschrift1"/>
        <w:numPr>
          <w:ilvl w:val="0"/>
          <w:numId w:val="24"/>
        </w:numPr>
        <w:rPr>
          <w:color w:val="E36C0A" w:themeColor="accent6" w:themeShade="BF"/>
          <w:sz w:val="24"/>
          <w:szCs w:val="24"/>
          <w:u w:val="none"/>
        </w:rPr>
      </w:pPr>
      <w:bookmarkStart w:id="122" w:name="_Toc116494072"/>
      <w:bookmarkStart w:id="123" w:name="_Toc116923150"/>
      <w:r w:rsidRPr="007359AA">
        <w:rPr>
          <w:color w:val="E36C0A" w:themeColor="accent6" w:themeShade="BF"/>
          <w:sz w:val="24"/>
          <w:szCs w:val="24"/>
          <w:u w:val="none"/>
        </w:rPr>
        <w:t>OPTIMALE AUSNUTZUNG DES JAHRESSECHSTELS</w:t>
      </w:r>
      <w:bookmarkEnd w:id="122"/>
      <w:bookmarkEnd w:id="123"/>
      <w:r w:rsidRPr="007359AA">
        <w:rPr>
          <w:color w:val="E36C0A" w:themeColor="accent6" w:themeShade="BF"/>
          <w:sz w:val="24"/>
          <w:szCs w:val="24"/>
          <w:u w:val="none"/>
        </w:rPr>
        <w:t xml:space="preserve"> </w:t>
      </w:r>
      <w:bookmarkEnd w:id="121"/>
    </w:p>
    <w:p w:rsidR="00EE4F1D" w:rsidRPr="007B3088" w:rsidRDefault="00B91056" w:rsidP="00EE4F1D">
      <w:pPr>
        <w:spacing w:after="240" w:line="276" w:lineRule="auto"/>
        <w:jc w:val="both"/>
        <w:rPr>
          <w:rFonts w:cs="Arial"/>
        </w:rPr>
      </w:pPr>
      <w:bookmarkStart w:id="124" w:name="_Toc306693577"/>
      <w:r w:rsidRPr="007B3088">
        <w:rPr>
          <w:rFonts w:cs="Arial"/>
        </w:rPr>
        <w:t xml:space="preserve">Wenn neben den regelmäßigen Monatsbezügen noch andere Bezüge (wie zB Überstundenvergütungen, Nachtarbeitszuschläge, Schmutz-, Erschwernis- und Gefahrenzulagen etc) zur Auszahlung oder etwa Sachbezüge nur zwölf Mal jährlich zur Verrechnung gelangen, dann wird das begünstigt besteuerte </w:t>
      </w:r>
      <w:r w:rsidRPr="007B3088">
        <w:rPr>
          <w:rFonts w:cs="Arial"/>
          <w:b/>
        </w:rPr>
        <w:t>Jahressechstel</w:t>
      </w:r>
      <w:r w:rsidRPr="007B3088">
        <w:rPr>
          <w:rFonts w:cs="Arial"/>
        </w:rPr>
        <w:t xml:space="preserve"> durch Urlaubs- und Weihnachtsgeld in der Regel </w:t>
      </w:r>
      <w:r w:rsidRPr="007B3088">
        <w:rPr>
          <w:rFonts w:cs="Arial"/>
          <w:b/>
        </w:rPr>
        <w:t>nicht optimal ausgenutzt</w:t>
      </w:r>
      <w:r w:rsidRPr="007B3088">
        <w:rPr>
          <w:rFonts w:cs="Arial"/>
        </w:rPr>
        <w:t xml:space="preserve">. In diesem Fall könnte in Höhe des </w:t>
      </w:r>
      <w:r w:rsidRPr="007B3088">
        <w:rPr>
          <w:rFonts w:cs="Arial"/>
          <w:b/>
        </w:rPr>
        <w:t>restlichen Jahressechstels</w:t>
      </w:r>
      <w:r w:rsidRPr="007B3088">
        <w:rPr>
          <w:rFonts w:cs="Arial"/>
        </w:rPr>
        <w:t xml:space="preserve"> noch eine </w:t>
      </w:r>
      <w:r w:rsidRPr="007B3088">
        <w:rPr>
          <w:rFonts w:cs="Arial"/>
          <w:b/>
        </w:rPr>
        <w:t>Prämie</w:t>
      </w:r>
      <w:r w:rsidRPr="007B3088">
        <w:rPr>
          <w:rFonts w:cs="Arial"/>
        </w:rPr>
        <w:t xml:space="preserve"> ausbezahlt werden, die je nach Höhe des Jahressechstels</w:t>
      </w:r>
      <w:r w:rsidRPr="007B3088">
        <w:rPr>
          <w:rFonts w:cs="Arial"/>
          <w:b/>
        </w:rPr>
        <w:t xml:space="preserve"> mit 6% bis 35,75% versteuert</w:t>
      </w:r>
      <w:r w:rsidRPr="007B3088">
        <w:rPr>
          <w:rFonts w:cs="Arial"/>
        </w:rPr>
        <w:t xml:space="preserve"> werden muss.</w:t>
      </w:r>
      <w:bookmarkEnd w:id="124"/>
      <w:r w:rsidRPr="007B3088">
        <w:rPr>
          <w:rFonts w:cs="Arial"/>
        </w:rPr>
        <w:t xml:space="preserve"> Beträgt das Jahressechstel </w:t>
      </w:r>
      <w:r w:rsidR="00AF259B" w:rsidRPr="007B3088">
        <w:rPr>
          <w:rFonts w:cs="Arial"/>
        </w:rPr>
        <w:t>mehr als</w:t>
      </w:r>
      <w:r w:rsidRPr="007B3088">
        <w:rPr>
          <w:rFonts w:cs="Arial"/>
        </w:rPr>
        <w:t xml:space="preserve"> € 83.333, </w:t>
      </w:r>
      <w:r w:rsidR="00AF259B" w:rsidRPr="007B3088">
        <w:rPr>
          <w:rFonts w:cs="Arial"/>
        </w:rPr>
        <w:t>kommt für übersteigende Beträge ein</w:t>
      </w:r>
      <w:r w:rsidRPr="007B3088">
        <w:rPr>
          <w:rFonts w:cs="Arial"/>
        </w:rPr>
        <w:t xml:space="preserve"> Steuersatz von 50% </w:t>
      </w:r>
      <w:r w:rsidR="00AF259B" w:rsidRPr="007B3088">
        <w:rPr>
          <w:rFonts w:cs="Arial"/>
        </w:rPr>
        <w:t xml:space="preserve">bzw allenfalls 55% </w:t>
      </w:r>
      <w:r w:rsidR="001831AD" w:rsidRPr="007B3088">
        <w:rPr>
          <w:rFonts w:cs="Arial"/>
        </w:rPr>
        <w:t>zur Anwendung.</w:t>
      </w:r>
      <w:r w:rsidR="00AB0F0A" w:rsidRPr="007B3088">
        <w:rPr>
          <w:rFonts w:cs="Arial"/>
        </w:rPr>
        <w:t xml:space="preserve"> </w:t>
      </w:r>
      <w:r w:rsidR="00A266A8" w:rsidRPr="007B3088">
        <w:rPr>
          <w:rFonts w:cs="Arial"/>
        </w:rPr>
        <w:t xml:space="preserve">Für Arbeitnehmer, denen auf Grund von </w:t>
      </w:r>
      <w:r w:rsidR="00A266A8" w:rsidRPr="007B3088">
        <w:rPr>
          <w:rFonts w:cs="Arial"/>
          <w:b/>
          <w:bCs/>
        </w:rPr>
        <w:t>Kurzarbeit</w:t>
      </w:r>
      <w:r w:rsidR="00A266A8" w:rsidRPr="007B3088">
        <w:rPr>
          <w:rFonts w:cs="Arial"/>
        </w:rPr>
        <w:t xml:space="preserve"> reduzierte Bezüge zugeflossen sind, ist das Jahressechstel pauschal um 15% zu erhöhen (auch für das Kontrollsechstel). </w:t>
      </w:r>
    </w:p>
    <w:p w:rsidR="001E7F45" w:rsidRPr="003C6603" w:rsidRDefault="003C6603" w:rsidP="003C6603">
      <w:pPr>
        <w:shd w:val="clear" w:color="auto" w:fill="B8CCE4" w:themeFill="accent1" w:themeFillTint="66"/>
        <w:spacing w:line="276" w:lineRule="auto"/>
        <w:jc w:val="both"/>
        <w:rPr>
          <w:rFonts w:cs="Arial"/>
          <w:b/>
          <w:bCs/>
        </w:rPr>
      </w:pPr>
      <w:r w:rsidRPr="003C6603">
        <w:rPr>
          <w:rFonts w:cs="Arial"/>
          <w:b/>
          <w:bCs/>
        </w:rPr>
        <w:t>Achtung</w:t>
      </w:r>
      <w:r>
        <w:rPr>
          <w:rFonts w:cs="Arial"/>
        </w:rPr>
        <w:t xml:space="preserve">: </w:t>
      </w:r>
      <w:r w:rsidR="001E7F45" w:rsidRPr="007B3088">
        <w:rPr>
          <w:rFonts w:cs="Arial"/>
        </w:rPr>
        <w:t>Werden im laufenden Kalenderjahr 202</w:t>
      </w:r>
      <w:r w:rsidR="00DC4248" w:rsidRPr="007B3088">
        <w:rPr>
          <w:rFonts w:cs="Arial"/>
        </w:rPr>
        <w:t>2</w:t>
      </w:r>
      <w:r w:rsidR="001E7F45" w:rsidRPr="007B3088">
        <w:rPr>
          <w:rFonts w:cs="Arial"/>
        </w:rPr>
        <w:t xml:space="preserve"> insgesamt mehr als ein Sechstel der zugeflossenen laufenden Bezüge mit dem festen Steuersatz begünstigt besteuert, muss der Arbeitgeber bei Auszahlung des letzten laufenden Bezuges (im Dezember oder im Beendigungsmonat) die </w:t>
      </w:r>
      <w:r w:rsidR="001E7F45" w:rsidRPr="003C6603">
        <w:rPr>
          <w:rFonts w:cs="Arial"/>
          <w:b/>
          <w:bCs/>
        </w:rPr>
        <w:t>übersteigenden Beträge durch Aufrollung nach Tarif versteuern.</w:t>
      </w:r>
    </w:p>
    <w:p w:rsidR="00B91056" w:rsidRDefault="00B91056" w:rsidP="00B952A7">
      <w:pPr>
        <w:spacing w:line="276" w:lineRule="auto"/>
        <w:jc w:val="both"/>
        <w:outlineLvl w:val="1"/>
        <w:rPr>
          <w:rFonts w:cs="Arial"/>
        </w:rPr>
      </w:pPr>
    </w:p>
    <w:p w:rsidR="00EE4F1D" w:rsidRPr="00DC4248" w:rsidRDefault="00EE4F1D" w:rsidP="00B952A7">
      <w:pPr>
        <w:spacing w:line="276" w:lineRule="auto"/>
        <w:jc w:val="both"/>
        <w:outlineLvl w:val="1"/>
        <w:rPr>
          <w:rFonts w:cs="Arial"/>
        </w:rPr>
      </w:pPr>
    </w:p>
    <w:p w:rsidR="00B91056" w:rsidRPr="007359AA" w:rsidRDefault="00E5792C" w:rsidP="007359AA">
      <w:pPr>
        <w:pStyle w:val="berschrift1"/>
        <w:numPr>
          <w:ilvl w:val="0"/>
          <w:numId w:val="24"/>
        </w:numPr>
        <w:rPr>
          <w:color w:val="E36C0A" w:themeColor="accent6" w:themeShade="BF"/>
          <w:sz w:val="24"/>
          <w:szCs w:val="24"/>
          <w:u w:val="none"/>
        </w:rPr>
      </w:pPr>
      <w:bookmarkStart w:id="125" w:name="_Toc306629735"/>
      <w:bookmarkStart w:id="126" w:name="_Toc306630529"/>
      <w:bookmarkStart w:id="127" w:name="_Toc306632156"/>
      <w:bookmarkStart w:id="128" w:name="_Toc306693581"/>
      <w:bookmarkStart w:id="129" w:name="_Toc116494073"/>
      <w:bookmarkStart w:id="130" w:name="_Toc116923151"/>
      <w:r w:rsidRPr="007359AA">
        <w:rPr>
          <w:color w:val="E36C0A" w:themeColor="accent6" w:themeShade="BF"/>
          <w:sz w:val="24"/>
          <w:szCs w:val="24"/>
          <w:u w:val="none"/>
        </w:rPr>
        <w:t>ZUKUNFTSSICHERUNG FÜR DIENSTNEHMER BIS € 300 STEUERFREI</w:t>
      </w:r>
      <w:bookmarkEnd w:id="125"/>
      <w:bookmarkEnd w:id="126"/>
      <w:bookmarkEnd w:id="127"/>
      <w:bookmarkEnd w:id="128"/>
      <w:bookmarkEnd w:id="129"/>
      <w:bookmarkEnd w:id="130"/>
    </w:p>
    <w:p w:rsidR="00B91056" w:rsidRDefault="00B91056" w:rsidP="00EE4F1D">
      <w:pPr>
        <w:spacing w:before="240" w:line="276" w:lineRule="auto"/>
        <w:jc w:val="both"/>
        <w:rPr>
          <w:rFonts w:cs="Arial"/>
          <w:b/>
        </w:rPr>
      </w:pPr>
      <w:bookmarkStart w:id="131" w:name="_Toc306629736"/>
      <w:bookmarkStart w:id="132" w:name="_Toc306630530"/>
      <w:bookmarkStart w:id="133" w:name="_Toc306632157"/>
      <w:bookmarkStart w:id="134" w:name="_Toc306693582"/>
      <w:r w:rsidRPr="00DC4248">
        <w:rPr>
          <w:rFonts w:cs="Arial"/>
        </w:rPr>
        <w:t xml:space="preserve">Die Bezahlung von Prämien für Lebens-, Kranken- und Unfallversicherungen (einschließlich Zeichnung eines Pensions-Investmentfonds) durch den Arbeitgeber für alle Arbeitnehmer oder bestimmte Gruppen von Arbeitnehmern ist </w:t>
      </w:r>
      <w:r w:rsidRPr="00DC4248">
        <w:rPr>
          <w:rFonts w:cs="Arial"/>
          <w:b/>
        </w:rPr>
        <w:t>bis zu € 300 pro Jahr und Arbeitnehmer nach wie vor steuerfrei.</w:t>
      </w:r>
      <w:bookmarkEnd w:id="131"/>
      <w:bookmarkEnd w:id="132"/>
      <w:bookmarkEnd w:id="133"/>
      <w:bookmarkEnd w:id="134"/>
    </w:p>
    <w:p w:rsidR="00EE4F1D" w:rsidRPr="00DC4248" w:rsidRDefault="00EE4F1D" w:rsidP="00B952A7">
      <w:pPr>
        <w:spacing w:line="276" w:lineRule="auto"/>
        <w:jc w:val="both"/>
        <w:rPr>
          <w:rFonts w:cs="Arial"/>
          <w:b/>
        </w:rPr>
      </w:pPr>
    </w:p>
    <w:p w:rsidR="007B3088" w:rsidRPr="00BF45A2" w:rsidRDefault="00B91056" w:rsidP="00BF45A2">
      <w:pPr>
        <w:shd w:val="clear" w:color="auto" w:fill="C6D9F1" w:themeFill="text2" w:themeFillTint="33"/>
        <w:spacing w:line="276" w:lineRule="auto"/>
        <w:jc w:val="both"/>
        <w:rPr>
          <w:rFonts w:cs="Arial"/>
        </w:rPr>
      </w:pPr>
      <w:bookmarkStart w:id="135" w:name="_Toc306629737"/>
      <w:bookmarkStart w:id="136" w:name="_Toc306630531"/>
      <w:bookmarkStart w:id="137" w:name="_Toc306632158"/>
      <w:bookmarkStart w:id="138" w:name="_Toc306693583"/>
      <w:r w:rsidRPr="00DC4248">
        <w:rPr>
          <w:rFonts w:cs="Arial"/>
          <w:b/>
        </w:rPr>
        <w:t>Achtung</w:t>
      </w:r>
      <w:r w:rsidRPr="00DC4248">
        <w:rPr>
          <w:rFonts w:cs="Arial"/>
        </w:rPr>
        <w:t>: Wenn die ASVG-Höchstbeitragsgrundlage noch nicht überschritten ist, besteht für die Zahlungen, wenn sie aus einer Bezugsumwandlung stammen, Sozialversicherungspflicht.</w:t>
      </w:r>
      <w:bookmarkEnd w:id="135"/>
      <w:bookmarkEnd w:id="136"/>
      <w:bookmarkEnd w:id="137"/>
      <w:bookmarkEnd w:id="138"/>
    </w:p>
    <w:p w:rsidR="00B91056" w:rsidRDefault="00B91056" w:rsidP="00EE4F1D">
      <w:pPr>
        <w:spacing w:line="276" w:lineRule="auto"/>
        <w:ind w:left="360" w:hanging="360"/>
        <w:jc w:val="both"/>
        <w:outlineLvl w:val="1"/>
        <w:rPr>
          <w:rFonts w:cs="Arial"/>
          <w:highlight w:val="yellow"/>
        </w:rPr>
      </w:pPr>
    </w:p>
    <w:p w:rsidR="00EE4F1D" w:rsidRPr="00047CB2" w:rsidRDefault="00EE4F1D" w:rsidP="00EE4F1D">
      <w:pPr>
        <w:spacing w:line="276" w:lineRule="auto"/>
        <w:ind w:left="360" w:hanging="360"/>
        <w:jc w:val="both"/>
        <w:outlineLvl w:val="1"/>
        <w:rPr>
          <w:rFonts w:cs="Arial"/>
          <w:highlight w:val="yellow"/>
        </w:rPr>
      </w:pPr>
    </w:p>
    <w:p w:rsidR="00B91056" w:rsidRPr="00E5792C" w:rsidRDefault="00E5792C" w:rsidP="007359AA">
      <w:pPr>
        <w:pStyle w:val="berschrift1"/>
        <w:numPr>
          <w:ilvl w:val="0"/>
          <w:numId w:val="24"/>
        </w:numPr>
        <w:ind w:left="284" w:hanging="284"/>
        <w:rPr>
          <w:color w:val="E36C0A" w:themeColor="accent6" w:themeShade="BF"/>
          <w:sz w:val="24"/>
          <w:szCs w:val="24"/>
          <w:u w:val="none"/>
        </w:rPr>
      </w:pPr>
      <w:bookmarkStart w:id="139" w:name="_Toc306629738"/>
      <w:bookmarkStart w:id="140" w:name="_Toc306630532"/>
      <w:bookmarkStart w:id="141" w:name="_Toc306632159"/>
      <w:bookmarkStart w:id="142" w:name="_Toc306693584"/>
      <w:bookmarkStart w:id="143" w:name="_Toc116494074"/>
      <w:bookmarkStart w:id="144" w:name="_Toc116923152"/>
      <w:r w:rsidRPr="00E5792C">
        <w:rPr>
          <w:color w:val="E36C0A" w:themeColor="accent6" w:themeShade="BF"/>
          <w:sz w:val="24"/>
          <w:szCs w:val="24"/>
          <w:u w:val="none"/>
        </w:rPr>
        <w:t xml:space="preserve">MITARBEITERBETEILIGUNGEN </w:t>
      </w:r>
      <w:bookmarkEnd w:id="139"/>
      <w:bookmarkEnd w:id="140"/>
      <w:bookmarkEnd w:id="141"/>
      <w:bookmarkEnd w:id="142"/>
      <w:r w:rsidRPr="00E5792C">
        <w:rPr>
          <w:color w:val="E36C0A" w:themeColor="accent6" w:themeShade="BF"/>
          <w:sz w:val="24"/>
          <w:szCs w:val="24"/>
          <w:u w:val="none"/>
        </w:rPr>
        <w:t>UND TEUERUNGSPRÄMIE</w:t>
      </w:r>
      <w:bookmarkEnd w:id="143"/>
      <w:bookmarkEnd w:id="144"/>
    </w:p>
    <w:p w:rsidR="007B3088" w:rsidRPr="007B3088" w:rsidRDefault="007B3088" w:rsidP="00EE4F1D">
      <w:pPr>
        <w:spacing w:before="240" w:line="276" w:lineRule="auto"/>
        <w:jc w:val="both"/>
        <w:rPr>
          <w:rFonts w:cs="Arial"/>
          <w:b/>
        </w:rPr>
      </w:pPr>
      <w:bookmarkStart w:id="145" w:name="_Toc306629739"/>
      <w:bookmarkStart w:id="146" w:name="_Toc306630533"/>
      <w:bookmarkStart w:id="147" w:name="_Toc306632160"/>
      <w:bookmarkStart w:id="148" w:name="_Toc306693585"/>
      <w:r w:rsidRPr="007B3088">
        <w:rPr>
          <w:rFonts w:cs="Arial"/>
          <w:b/>
        </w:rPr>
        <w:t>3.1 Mitarbeiterbeteiligung</w:t>
      </w:r>
    </w:p>
    <w:p w:rsidR="00B91056" w:rsidRDefault="00B91056" w:rsidP="00B952A7">
      <w:pPr>
        <w:spacing w:line="276" w:lineRule="auto"/>
        <w:jc w:val="both"/>
        <w:rPr>
          <w:rFonts w:cs="Arial"/>
        </w:rPr>
      </w:pPr>
      <w:r w:rsidRPr="00EE4F1D">
        <w:rPr>
          <w:rFonts w:cs="Arial"/>
        </w:rPr>
        <w:t xml:space="preserve">Für den Vorteil aus der </w:t>
      </w:r>
      <w:r w:rsidRPr="00EE4F1D">
        <w:rPr>
          <w:rFonts w:cs="Arial"/>
          <w:b/>
        </w:rPr>
        <w:t>unentgeltlichen oder verbilligten Abgabe von Beteiligungen</w:t>
      </w:r>
      <w:r w:rsidRPr="00EE4F1D">
        <w:rPr>
          <w:rFonts w:cs="Arial"/>
        </w:rPr>
        <w:t xml:space="preserve"> am Unternehmen des Arbeitgebers oder an mit diesem verbundenen Konzernunternehmen besteht ein </w:t>
      </w:r>
      <w:r w:rsidRPr="00EE4F1D">
        <w:rPr>
          <w:rFonts w:cs="Arial"/>
          <w:b/>
        </w:rPr>
        <w:t xml:space="preserve">Freibetrag pro Mitarbeiter und Jahr von € 3.000. </w:t>
      </w:r>
      <w:r w:rsidRPr="00EE4F1D">
        <w:rPr>
          <w:rFonts w:cs="Arial"/>
        </w:rPr>
        <w:t xml:space="preserve">Der Vorteil muss allen </w:t>
      </w:r>
      <w:r w:rsidR="003C6603" w:rsidRPr="00EE4F1D">
        <w:rPr>
          <w:rFonts w:cs="Arial"/>
        </w:rPr>
        <w:t>Mitarbeitern</w:t>
      </w:r>
      <w:r w:rsidRPr="00EE4F1D">
        <w:rPr>
          <w:rFonts w:cs="Arial"/>
        </w:rPr>
        <w:t xml:space="preserve"> oder einer bestimmten Gruppe</w:t>
      </w:r>
      <w:r w:rsidR="003C6603" w:rsidRPr="00EE4F1D">
        <w:rPr>
          <w:rFonts w:cs="Arial"/>
        </w:rPr>
        <w:t xml:space="preserve"> von ihnen</w:t>
      </w:r>
      <w:r w:rsidRPr="00EE4F1D">
        <w:rPr>
          <w:rFonts w:cs="Arial"/>
        </w:rPr>
        <w:t xml:space="preserve"> zukommen; die Beteiligung muss vom Mitarbeiter länger als 5 Jahre gehalten werden.</w:t>
      </w:r>
      <w:bookmarkEnd w:id="145"/>
      <w:bookmarkEnd w:id="146"/>
      <w:bookmarkEnd w:id="147"/>
      <w:bookmarkEnd w:id="148"/>
      <w:r w:rsidRPr="00EE4F1D">
        <w:rPr>
          <w:rFonts w:cs="Arial"/>
        </w:rPr>
        <w:t xml:space="preserve"> Nach Ansicht des VwGH stellen die Angehörigen </w:t>
      </w:r>
      <w:r w:rsidRPr="007B3088">
        <w:rPr>
          <w:rFonts w:cs="Arial"/>
        </w:rPr>
        <w:t>des Managements eine begünstigungsfähige Gruppe dar.</w:t>
      </w:r>
    </w:p>
    <w:p w:rsidR="007B3088" w:rsidRDefault="007B3088" w:rsidP="00B952A7">
      <w:pPr>
        <w:spacing w:line="276" w:lineRule="auto"/>
        <w:jc w:val="both"/>
        <w:rPr>
          <w:rFonts w:cs="Arial"/>
        </w:rPr>
      </w:pPr>
    </w:p>
    <w:p w:rsidR="007B3088" w:rsidRPr="007B3088" w:rsidRDefault="007B3088" w:rsidP="00B952A7">
      <w:pPr>
        <w:spacing w:line="276" w:lineRule="auto"/>
        <w:jc w:val="both"/>
        <w:rPr>
          <w:rFonts w:cs="Arial"/>
          <w:b/>
        </w:rPr>
      </w:pPr>
      <w:r w:rsidRPr="007B3088">
        <w:rPr>
          <w:rFonts w:cs="Arial"/>
          <w:b/>
        </w:rPr>
        <w:t>3.2 Mitarbeitergewinnbeteiligung und Teuerungsprämie</w:t>
      </w:r>
    </w:p>
    <w:p w:rsidR="007B3088" w:rsidRPr="00EE4F1D" w:rsidRDefault="007B3088" w:rsidP="00B952A7">
      <w:pPr>
        <w:spacing w:line="276" w:lineRule="auto"/>
        <w:jc w:val="both"/>
        <w:rPr>
          <w:rFonts w:cs="Arial"/>
        </w:rPr>
      </w:pPr>
      <w:r w:rsidRPr="00EE4F1D">
        <w:rPr>
          <w:rFonts w:cs="Arial"/>
        </w:rPr>
        <w:t>Seit dem 1.1.2022 besteht die Möglichkeit</w:t>
      </w:r>
      <w:r w:rsidR="002D1681" w:rsidRPr="00EE4F1D">
        <w:rPr>
          <w:rFonts w:cs="Arial"/>
        </w:rPr>
        <w:t>,</w:t>
      </w:r>
      <w:r w:rsidRPr="00EE4F1D">
        <w:rPr>
          <w:rFonts w:cs="Arial"/>
        </w:rPr>
        <w:t xml:space="preserve"> </w:t>
      </w:r>
      <w:r w:rsidR="0026654D" w:rsidRPr="00EE4F1D">
        <w:rPr>
          <w:rFonts w:cs="Arial"/>
        </w:rPr>
        <w:t xml:space="preserve">aktive </w:t>
      </w:r>
      <w:r w:rsidRPr="00EE4F1D">
        <w:rPr>
          <w:rFonts w:cs="Arial"/>
        </w:rPr>
        <w:t xml:space="preserve">Mitarbeiter am </w:t>
      </w:r>
      <w:r w:rsidR="0026654D" w:rsidRPr="00EE4F1D">
        <w:rPr>
          <w:rFonts w:cs="Arial"/>
        </w:rPr>
        <w:t>Vorj</w:t>
      </w:r>
      <w:r w:rsidRPr="00EE4F1D">
        <w:rPr>
          <w:rFonts w:cs="Arial"/>
        </w:rPr>
        <w:t>ahreserfolg des Unternehmens bis zu € 3.000 steuerfrei zu beteiligen</w:t>
      </w:r>
      <w:r w:rsidR="003C6603" w:rsidRPr="00EE4F1D">
        <w:rPr>
          <w:rFonts w:cs="Arial"/>
        </w:rPr>
        <w:t>.</w:t>
      </w:r>
      <w:r w:rsidRPr="00EE4F1D">
        <w:rPr>
          <w:rFonts w:cs="Arial"/>
        </w:rPr>
        <w:t xml:space="preserve"> </w:t>
      </w:r>
      <w:r w:rsidR="0026654D" w:rsidRPr="00EE4F1D">
        <w:rPr>
          <w:rFonts w:cs="Arial"/>
        </w:rPr>
        <w:t xml:space="preserve">Alternativ kann in den Jahren 2022 und 2023 </w:t>
      </w:r>
      <w:r w:rsidRPr="00EE4F1D">
        <w:rPr>
          <w:rFonts w:cs="Arial"/>
        </w:rPr>
        <w:t xml:space="preserve">eine steuerfreie </w:t>
      </w:r>
      <w:r w:rsidRPr="00EE4F1D">
        <w:rPr>
          <w:rFonts w:cs="Arial"/>
          <w:b/>
          <w:bCs/>
        </w:rPr>
        <w:t>Teuerungsprämie</w:t>
      </w:r>
      <w:r w:rsidRPr="00EE4F1D">
        <w:rPr>
          <w:rFonts w:cs="Arial"/>
        </w:rPr>
        <w:t xml:space="preserve"> </w:t>
      </w:r>
      <w:r w:rsidR="0026654D" w:rsidRPr="00EE4F1D">
        <w:rPr>
          <w:rFonts w:cs="Arial"/>
        </w:rPr>
        <w:t xml:space="preserve">von bis zu € 3.000 </w:t>
      </w:r>
      <w:r w:rsidRPr="00EE4F1D">
        <w:rPr>
          <w:rFonts w:cs="Arial"/>
        </w:rPr>
        <w:t>an Mitarbeiter ausbezahl</w:t>
      </w:r>
      <w:r w:rsidR="0026654D" w:rsidRPr="00EE4F1D">
        <w:rPr>
          <w:rFonts w:cs="Arial"/>
        </w:rPr>
        <w:t xml:space="preserve">t werden. </w:t>
      </w:r>
      <w:r w:rsidRPr="00EE4F1D">
        <w:rPr>
          <w:rFonts w:cs="Arial"/>
        </w:rPr>
        <w:t xml:space="preserve">Die wichtigsten Unterschiede haben wir </w:t>
      </w:r>
      <w:r w:rsidR="00014D6D" w:rsidRPr="00EE4F1D">
        <w:rPr>
          <w:rFonts w:cs="Arial"/>
        </w:rPr>
        <w:t>hier</w:t>
      </w:r>
      <w:r w:rsidRPr="00EE4F1D">
        <w:rPr>
          <w:rFonts w:cs="Arial"/>
        </w:rPr>
        <w:t xml:space="preserve"> </w:t>
      </w:r>
      <w:r w:rsidR="0026654D" w:rsidRPr="00EE4F1D">
        <w:rPr>
          <w:rFonts w:cs="Arial"/>
        </w:rPr>
        <w:t>gegenübergestellt</w:t>
      </w:r>
      <w:r w:rsidRPr="00EE4F1D">
        <w:rPr>
          <w:rFonts w:cs="Arial"/>
        </w:rPr>
        <w:t>:</w:t>
      </w:r>
    </w:p>
    <w:p w:rsidR="007B3088" w:rsidRDefault="007B3088" w:rsidP="00B952A7">
      <w:pPr>
        <w:spacing w:line="276" w:lineRule="auto"/>
        <w:jc w:val="both"/>
        <w:rPr>
          <w:rFonts w:cs="Arial"/>
        </w:rPr>
      </w:pPr>
    </w:p>
    <w:p w:rsidR="007F3421" w:rsidRDefault="007F3421" w:rsidP="00B952A7">
      <w:pPr>
        <w:spacing w:line="276" w:lineRule="auto"/>
        <w:jc w:val="both"/>
        <w:rPr>
          <w:rFonts w:cs="Arial"/>
        </w:rPr>
      </w:pPr>
    </w:p>
    <w:p w:rsidR="007F3421" w:rsidRDefault="007F3421" w:rsidP="00B952A7">
      <w:pPr>
        <w:spacing w:line="276" w:lineRule="auto"/>
        <w:jc w:val="both"/>
        <w:rPr>
          <w:rFonts w:cs="Arial"/>
        </w:rPr>
      </w:pPr>
    </w:p>
    <w:p w:rsidR="007F3421" w:rsidRPr="00EE4F1D" w:rsidRDefault="007F3421" w:rsidP="00B952A7">
      <w:pPr>
        <w:spacing w:line="276" w:lineRule="auto"/>
        <w:jc w:val="both"/>
        <w:rPr>
          <w:rFonts w:cs="Arial"/>
        </w:rPr>
      </w:pPr>
    </w:p>
    <w:tbl>
      <w:tblPr>
        <w:tblStyle w:val="Tabellenraster"/>
        <w:tblW w:w="9214" w:type="dxa"/>
        <w:tblLook w:val="04A0" w:firstRow="1" w:lastRow="0" w:firstColumn="1" w:lastColumn="0" w:noHBand="0" w:noVBand="1"/>
      </w:tblPr>
      <w:tblGrid>
        <w:gridCol w:w="3020"/>
        <w:gridCol w:w="3021"/>
        <w:gridCol w:w="3173"/>
      </w:tblGrid>
      <w:tr w:rsidR="007B3088" w:rsidRPr="00ED39ED" w:rsidTr="00055CAA">
        <w:tc>
          <w:tcPr>
            <w:tcW w:w="3020" w:type="dxa"/>
            <w:tcBorders>
              <w:top w:val="nil"/>
              <w:left w:val="nil"/>
            </w:tcBorders>
          </w:tcPr>
          <w:p w:rsidR="007B3088" w:rsidRDefault="007B3088" w:rsidP="00941A52">
            <w:pPr>
              <w:ind w:left="37"/>
              <w:rPr>
                <w:rFonts w:cs="Arial"/>
                <w:lang w:val="de-DE"/>
              </w:rPr>
            </w:pPr>
          </w:p>
        </w:tc>
        <w:tc>
          <w:tcPr>
            <w:tcW w:w="3021" w:type="dxa"/>
            <w:shd w:val="clear" w:color="auto" w:fill="FBD4B4" w:themeFill="accent6" w:themeFillTint="66"/>
          </w:tcPr>
          <w:p w:rsidR="007B3088" w:rsidRPr="00ED39ED" w:rsidRDefault="007B3088" w:rsidP="00946D67">
            <w:pPr>
              <w:jc w:val="center"/>
              <w:rPr>
                <w:rFonts w:cs="Arial"/>
                <w:b/>
                <w:lang w:val="de-DE"/>
              </w:rPr>
            </w:pPr>
            <w:r w:rsidRPr="00ED39ED">
              <w:rPr>
                <w:rFonts w:cs="Arial"/>
                <w:b/>
                <w:lang w:val="de-DE"/>
              </w:rPr>
              <w:t>Teuerungsprämie</w:t>
            </w:r>
          </w:p>
        </w:tc>
        <w:tc>
          <w:tcPr>
            <w:tcW w:w="3173" w:type="dxa"/>
            <w:shd w:val="clear" w:color="auto" w:fill="D9D9D9" w:themeFill="background1" w:themeFillShade="D9"/>
          </w:tcPr>
          <w:p w:rsidR="007B3088" w:rsidRPr="00ED39ED" w:rsidRDefault="007B3088" w:rsidP="00946D67">
            <w:pPr>
              <w:jc w:val="both"/>
              <w:rPr>
                <w:rFonts w:cs="Arial"/>
                <w:b/>
                <w:lang w:val="de-DE"/>
              </w:rPr>
            </w:pPr>
            <w:r w:rsidRPr="00ED39ED">
              <w:rPr>
                <w:rFonts w:cs="Arial"/>
                <w:b/>
                <w:lang w:val="de-DE"/>
              </w:rPr>
              <w:t>Mitarbeitergewinnbeteiligung</w:t>
            </w:r>
          </w:p>
        </w:tc>
      </w:tr>
      <w:tr w:rsidR="007B3088" w:rsidTr="00055CAA">
        <w:tc>
          <w:tcPr>
            <w:tcW w:w="3020" w:type="dxa"/>
            <w:shd w:val="clear" w:color="auto" w:fill="auto"/>
            <w:vAlign w:val="center"/>
          </w:tcPr>
          <w:p w:rsidR="007B3088" w:rsidRPr="00596872" w:rsidRDefault="007B3088" w:rsidP="00941A52">
            <w:pPr>
              <w:ind w:left="37"/>
              <w:rPr>
                <w:rFonts w:cs="Arial"/>
                <w:b/>
                <w:lang w:val="de-DE"/>
              </w:rPr>
            </w:pPr>
            <w:r w:rsidRPr="00596872">
              <w:rPr>
                <w:rFonts w:cs="Arial"/>
                <w:b/>
                <w:lang w:val="de-DE"/>
              </w:rPr>
              <w:t>Begünstigte Prämienhöhe</w:t>
            </w:r>
          </w:p>
        </w:tc>
        <w:tc>
          <w:tcPr>
            <w:tcW w:w="3021" w:type="dxa"/>
            <w:shd w:val="clear" w:color="auto" w:fill="FBD4B4" w:themeFill="accent6" w:themeFillTint="66"/>
            <w:vAlign w:val="center"/>
          </w:tcPr>
          <w:p w:rsidR="007B3088" w:rsidRDefault="007B3088" w:rsidP="00596872">
            <w:pPr>
              <w:ind w:left="127"/>
              <w:rPr>
                <w:rFonts w:cs="Arial"/>
                <w:lang w:val="de-DE"/>
              </w:rPr>
            </w:pPr>
            <w:r>
              <w:rPr>
                <w:rFonts w:cs="Arial"/>
                <w:lang w:val="de-DE"/>
              </w:rPr>
              <w:t xml:space="preserve">€ 2.000 pro Jahr pro MA </w:t>
            </w:r>
            <w:r>
              <w:rPr>
                <w:rFonts w:cs="Arial"/>
                <w:lang w:val="de-DE"/>
              </w:rPr>
              <w:br/>
              <w:t>ohne Voraussetzungen;</w:t>
            </w:r>
          </w:p>
          <w:p w:rsidR="007B3088" w:rsidRDefault="007B3088" w:rsidP="00596872">
            <w:pPr>
              <w:ind w:left="127"/>
              <w:rPr>
                <w:rFonts w:cs="Arial"/>
                <w:lang w:val="de-DE"/>
              </w:rPr>
            </w:pPr>
            <w:r>
              <w:rPr>
                <w:rFonts w:cs="Arial"/>
                <w:lang w:val="de-DE"/>
              </w:rPr>
              <w:t>zusätzlich € 1.000 bei einer lohngestaltenden Vorschrift</w:t>
            </w:r>
          </w:p>
        </w:tc>
        <w:tc>
          <w:tcPr>
            <w:tcW w:w="3173" w:type="dxa"/>
            <w:shd w:val="clear" w:color="auto" w:fill="D9D9D9" w:themeFill="background1" w:themeFillShade="D9"/>
            <w:vAlign w:val="center"/>
          </w:tcPr>
          <w:p w:rsidR="007B3088" w:rsidRDefault="007B3088" w:rsidP="00946D67">
            <w:pPr>
              <w:jc w:val="center"/>
              <w:rPr>
                <w:rFonts w:cs="Arial"/>
                <w:lang w:val="de-DE"/>
              </w:rPr>
            </w:pPr>
            <w:r>
              <w:rPr>
                <w:rFonts w:cs="Arial"/>
                <w:lang w:val="de-DE"/>
              </w:rPr>
              <w:t>€ 3.000 pro Jahr pro MA</w:t>
            </w:r>
          </w:p>
        </w:tc>
      </w:tr>
      <w:tr w:rsidR="007B3088" w:rsidTr="00055CAA">
        <w:tc>
          <w:tcPr>
            <w:tcW w:w="3020" w:type="dxa"/>
            <w:shd w:val="clear" w:color="auto" w:fill="auto"/>
            <w:vAlign w:val="center"/>
          </w:tcPr>
          <w:p w:rsidR="00596872" w:rsidRDefault="00596872" w:rsidP="00941A52">
            <w:pPr>
              <w:ind w:left="37"/>
              <w:rPr>
                <w:rFonts w:cs="Arial"/>
                <w:b/>
                <w:lang w:val="de-DE"/>
              </w:rPr>
            </w:pPr>
          </w:p>
          <w:p w:rsidR="007B3088" w:rsidRDefault="007B3088" w:rsidP="00941A52">
            <w:pPr>
              <w:ind w:left="37"/>
              <w:rPr>
                <w:rFonts w:cs="Arial"/>
                <w:b/>
                <w:bCs/>
                <w:lang w:val="de-DE"/>
              </w:rPr>
            </w:pPr>
            <w:r w:rsidRPr="00596872">
              <w:rPr>
                <w:rFonts w:cs="Arial"/>
                <w:b/>
                <w:bCs/>
                <w:lang w:val="de-DE"/>
              </w:rPr>
              <w:t>Anwendungsjahre</w:t>
            </w:r>
          </w:p>
          <w:p w:rsidR="00596872" w:rsidRPr="00596872" w:rsidRDefault="00596872" w:rsidP="00941A52">
            <w:pPr>
              <w:ind w:left="37"/>
              <w:rPr>
                <w:rFonts w:cs="Arial"/>
                <w:b/>
                <w:bCs/>
                <w:lang w:val="de-DE"/>
              </w:rPr>
            </w:pPr>
          </w:p>
        </w:tc>
        <w:tc>
          <w:tcPr>
            <w:tcW w:w="3021" w:type="dxa"/>
            <w:shd w:val="clear" w:color="auto" w:fill="FBD4B4" w:themeFill="accent6" w:themeFillTint="66"/>
            <w:vAlign w:val="center"/>
          </w:tcPr>
          <w:p w:rsidR="007B3088" w:rsidRDefault="007B3088" w:rsidP="00596872">
            <w:pPr>
              <w:ind w:left="127"/>
              <w:rPr>
                <w:rFonts w:cs="Arial"/>
                <w:lang w:val="de-DE"/>
              </w:rPr>
            </w:pPr>
            <w:r>
              <w:rPr>
                <w:rFonts w:cs="Arial"/>
                <w:lang w:val="de-DE"/>
              </w:rPr>
              <w:t>2022 und 2023</w:t>
            </w:r>
          </w:p>
        </w:tc>
        <w:tc>
          <w:tcPr>
            <w:tcW w:w="3173" w:type="dxa"/>
            <w:shd w:val="clear" w:color="auto" w:fill="D9D9D9" w:themeFill="background1" w:themeFillShade="D9"/>
            <w:vAlign w:val="center"/>
          </w:tcPr>
          <w:p w:rsidR="007B3088" w:rsidRDefault="007B3088" w:rsidP="00946D67">
            <w:pPr>
              <w:jc w:val="center"/>
              <w:rPr>
                <w:rFonts w:cs="Arial"/>
                <w:lang w:val="de-DE"/>
              </w:rPr>
            </w:pPr>
            <w:r>
              <w:rPr>
                <w:rFonts w:cs="Arial"/>
                <w:lang w:val="de-DE"/>
              </w:rPr>
              <w:t>ab 2022 zeitlich unbefristet</w:t>
            </w:r>
          </w:p>
        </w:tc>
      </w:tr>
      <w:tr w:rsidR="007B3088" w:rsidTr="00055CAA">
        <w:tc>
          <w:tcPr>
            <w:tcW w:w="3020" w:type="dxa"/>
            <w:shd w:val="clear" w:color="auto" w:fill="auto"/>
            <w:vAlign w:val="center"/>
          </w:tcPr>
          <w:p w:rsidR="007B3088" w:rsidRPr="00596872" w:rsidRDefault="007B3088" w:rsidP="00941A52">
            <w:pPr>
              <w:ind w:left="37"/>
              <w:rPr>
                <w:rFonts w:cs="Arial"/>
                <w:b/>
                <w:lang w:val="de-DE"/>
              </w:rPr>
            </w:pPr>
            <w:r w:rsidRPr="00596872">
              <w:rPr>
                <w:rFonts w:cs="Arial"/>
                <w:b/>
                <w:lang w:val="de-DE"/>
              </w:rPr>
              <w:t>Abgabenrechtliche Befreiungen</w:t>
            </w:r>
          </w:p>
        </w:tc>
        <w:tc>
          <w:tcPr>
            <w:tcW w:w="3021" w:type="dxa"/>
            <w:shd w:val="clear" w:color="auto" w:fill="FBD4B4" w:themeFill="accent6" w:themeFillTint="66"/>
            <w:vAlign w:val="center"/>
          </w:tcPr>
          <w:p w:rsidR="007B3088" w:rsidRDefault="007B3088" w:rsidP="00596872">
            <w:pPr>
              <w:ind w:left="127"/>
              <w:rPr>
                <w:rFonts w:cs="Arial"/>
                <w:lang w:val="de-DE"/>
              </w:rPr>
            </w:pPr>
            <w:r>
              <w:rPr>
                <w:rFonts w:cs="Arial"/>
                <w:lang w:val="de-DE"/>
              </w:rPr>
              <w:t>Lohnsteuer, Kommunalsteuer, Dienstgeberbeitrag, Zuschlag zum Dienstgeberbeitrag sowie Sozialversicherungsbeiträge</w:t>
            </w:r>
          </w:p>
        </w:tc>
        <w:tc>
          <w:tcPr>
            <w:tcW w:w="3173" w:type="dxa"/>
            <w:shd w:val="clear" w:color="auto" w:fill="D9D9D9" w:themeFill="background1" w:themeFillShade="D9"/>
            <w:vAlign w:val="center"/>
          </w:tcPr>
          <w:p w:rsidR="007B3088" w:rsidRDefault="007B3088" w:rsidP="00946D67">
            <w:pPr>
              <w:jc w:val="center"/>
              <w:rPr>
                <w:rFonts w:cs="Arial"/>
                <w:lang w:val="de-DE"/>
              </w:rPr>
            </w:pPr>
            <w:r>
              <w:rPr>
                <w:rFonts w:cs="Arial"/>
                <w:lang w:val="de-DE"/>
              </w:rPr>
              <w:t>Lohnsteuer</w:t>
            </w:r>
          </w:p>
        </w:tc>
      </w:tr>
      <w:tr w:rsidR="007B3088" w:rsidTr="00055CAA">
        <w:tc>
          <w:tcPr>
            <w:tcW w:w="3020" w:type="dxa"/>
            <w:shd w:val="clear" w:color="auto" w:fill="auto"/>
            <w:vAlign w:val="center"/>
          </w:tcPr>
          <w:p w:rsidR="007B3088" w:rsidRPr="00596872" w:rsidRDefault="007B3088" w:rsidP="00941A52">
            <w:pPr>
              <w:tabs>
                <w:tab w:val="left" w:pos="1380"/>
              </w:tabs>
              <w:ind w:left="37"/>
              <w:rPr>
                <w:rFonts w:cs="Arial"/>
                <w:b/>
                <w:lang w:val="de-DE"/>
              </w:rPr>
            </w:pPr>
            <w:r w:rsidRPr="00596872">
              <w:rPr>
                <w:rFonts w:cs="Arial"/>
                <w:b/>
                <w:lang w:val="de-DE"/>
              </w:rPr>
              <w:t>Mitarbeitergruppen</w:t>
            </w:r>
          </w:p>
        </w:tc>
        <w:tc>
          <w:tcPr>
            <w:tcW w:w="3021" w:type="dxa"/>
            <w:shd w:val="clear" w:color="auto" w:fill="FBD4B4" w:themeFill="accent6" w:themeFillTint="66"/>
            <w:vAlign w:val="center"/>
          </w:tcPr>
          <w:p w:rsidR="007B3088" w:rsidRDefault="007B3088" w:rsidP="00596872">
            <w:pPr>
              <w:ind w:left="127"/>
              <w:rPr>
                <w:rFonts w:cs="Arial"/>
                <w:lang w:val="de-DE"/>
              </w:rPr>
            </w:pPr>
            <w:r>
              <w:rPr>
                <w:rFonts w:cs="Arial"/>
                <w:lang w:val="de-DE"/>
              </w:rPr>
              <w:t>keine MA-Gruppen</w:t>
            </w:r>
          </w:p>
        </w:tc>
        <w:tc>
          <w:tcPr>
            <w:tcW w:w="3173" w:type="dxa"/>
            <w:shd w:val="clear" w:color="auto" w:fill="D9D9D9" w:themeFill="background1" w:themeFillShade="D9"/>
            <w:vAlign w:val="center"/>
          </w:tcPr>
          <w:p w:rsidR="007B3088" w:rsidRDefault="007B3088" w:rsidP="00596872">
            <w:pPr>
              <w:ind w:left="88"/>
              <w:rPr>
                <w:rFonts w:cs="Arial"/>
                <w:lang w:val="de-DE"/>
              </w:rPr>
            </w:pPr>
            <w:r>
              <w:rPr>
                <w:rFonts w:cs="Arial"/>
                <w:lang w:val="de-DE"/>
              </w:rPr>
              <w:t xml:space="preserve">Gewinnbeteiligung muss an Mitarbeitergruppen mit </w:t>
            </w:r>
            <w:r>
              <w:rPr>
                <w:rFonts w:cs="Arial"/>
                <w:lang w:val="de-DE"/>
              </w:rPr>
              <w:br/>
              <w:t>objektiven, nachvollziehbaren Kriterien erfolgen</w:t>
            </w:r>
          </w:p>
        </w:tc>
      </w:tr>
      <w:tr w:rsidR="007B3088" w:rsidTr="00055CAA">
        <w:tc>
          <w:tcPr>
            <w:tcW w:w="3020" w:type="dxa"/>
            <w:shd w:val="clear" w:color="auto" w:fill="auto"/>
            <w:vAlign w:val="center"/>
          </w:tcPr>
          <w:p w:rsidR="007B3088" w:rsidRPr="00596872" w:rsidRDefault="007B3088" w:rsidP="00941A52">
            <w:pPr>
              <w:tabs>
                <w:tab w:val="left" w:pos="1380"/>
              </w:tabs>
              <w:ind w:left="37"/>
              <w:rPr>
                <w:rFonts w:cs="Arial"/>
                <w:b/>
                <w:lang w:val="de-DE"/>
              </w:rPr>
            </w:pPr>
            <w:r w:rsidRPr="00596872">
              <w:rPr>
                <w:rFonts w:cs="Arial"/>
                <w:b/>
                <w:lang w:val="de-DE"/>
              </w:rPr>
              <w:t>Unternehmensgewinn</w:t>
            </w:r>
          </w:p>
        </w:tc>
        <w:tc>
          <w:tcPr>
            <w:tcW w:w="3021" w:type="dxa"/>
            <w:shd w:val="clear" w:color="auto" w:fill="FBD4B4" w:themeFill="accent6" w:themeFillTint="66"/>
            <w:vAlign w:val="center"/>
          </w:tcPr>
          <w:p w:rsidR="007B3088" w:rsidRDefault="007B3088" w:rsidP="00596872">
            <w:pPr>
              <w:ind w:left="127"/>
              <w:rPr>
                <w:rFonts w:cs="Arial"/>
                <w:lang w:val="de-DE"/>
              </w:rPr>
            </w:pPr>
            <w:r>
              <w:rPr>
                <w:rFonts w:cs="Arial"/>
                <w:lang w:val="de-DE"/>
              </w:rPr>
              <w:t>Kein Gewinn erforderlich</w:t>
            </w:r>
          </w:p>
        </w:tc>
        <w:tc>
          <w:tcPr>
            <w:tcW w:w="3173" w:type="dxa"/>
            <w:shd w:val="clear" w:color="auto" w:fill="D9D9D9" w:themeFill="background1" w:themeFillShade="D9"/>
            <w:vAlign w:val="center"/>
          </w:tcPr>
          <w:p w:rsidR="007B3088" w:rsidRDefault="007B3088" w:rsidP="00055CAA">
            <w:pPr>
              <w:ind w:left="88" w:right="42"/>
              <w:rPr>
                <w:rFonts w:cs="Arial"/>
                <w:lang w:val="de-DE"/>
              </w:rPr>
            </w:pPr>
            <w:r>
              <w:rPr>
                <w:rFonts w:cs="Arial"/>
                <w:lang w:val="de-DE"/>
              </w:rPr>
              <w:t>Prämienhöhe mit dem</w:t>
            </w:r>
            <w:r>
              <w:rPr>
                <w:rFonts w:cs="Arial"/>
                <w:lang w:val="de-DE"/>
              </w:rPr>
              <w:br/>
              <w:t>Vorjahres-EBIT gedeckelt</w:t>
            </w:r>
          </w:p>
        </w:tc>
      </w:tr>
      <w:tr w:rsidR="007B3088" w:rsidTr="00055CAA">
        <w:tc>
          <w:tcPr>
            <w:tcW w:w="3020" w:type="dxa"/>
            <w:shd w:val="clear" w:color="auto" w:fill="auto"/>
            <w:vAlign w:val="center"/>
          </w:tcPr>
          <w:p w:rsidR="007B3088" w:rsidRPr="00596872" w:rsidRDefault="007B3088" w:rsidP="00941A52">
            <w:pPr>
              <w:tabs>
                <w:tab w:val="left" w:pos="1380"/>
              </w:tabs>
              <w:ind w:left="37"/>
              <w:rPr>
                <w:rFonts w:cs="Arial"/>
                <w:b/>
                <w:lang w:val="de-DE"/>
              </w:rPr>
            </w:pPr>
            <w:r w:rsidRPr="00596872">
              <w:rPr>
                <w:rFonts w:cs="Arial"/>
                <w:b/>
                <w:lang w:val="de-DE"/>
              </w:rPr>
              <w:t>Ersetzt „normale“ Prämien</w:t>
            </w:r>
          </w:p>
        </w:tc>
        <w:tc>
          <w:tcPr>
            <w:tcW w:w="3021" w:type="dxa"/>
            <w:shd w:val="clear" w:color="auto" w:fill="FBD4B4" w:themeFill="accent6" w:themeFillTint="66"/>
            <w:vAlign w:val="center"/>
          </w:tcPr>
          <w:p w:rsidR="007B3088" w:rsidRDefault="007B3088" w:rsidP="00596872">
            <w:pPr>
              <w:ind w:left="127"/>
              <w:rPr>
                <w:rFonts w:cs="Arial"/>
                <w:lang w:val="de-DE"/>
              </w:rPr>
            </w:pPr>
            <w:r>
              <w:rPr>
                <w:rFonts w:cs="Arial"/>
                <w:lang w:val="de-DE"/>
              </w:rPr>
              <w:t xml:space="preserve">Nein, </w:t>
            </w:r>
            <w:r>
              <w:rPr>
                <w:rFonts w:cs="Arial"/>
                <w:lang w:val="de-DE"/>
              </w:rPr>
              <w:br/>
              <w:t>es muss sich um zusätzliche Zahlungen handeln</w:t>
            </w:r>
          </w:p>
        </w:tc>
        <w:tc>
          <w:tcPr>
            <w:tcW w:w="3173" w:type="dxa"/>
            <w:shd w:val="clear" w:color="auto" w:fill="D9D9D9" w:themeFill="background1" w:themeFillShade="D9"/>
            <w:vAlign w:val="center"/>
          </w:tcPr>
          <w:p w:rsidR="007B3088" w:rsidRDefault="007B3088" w:rsidP="00596872">
            <w:pPr>
              <w:ind w:left="88"/>
              <w:rPr>
                <w:rFonts w:cs="Arial"/>
                <w:lang w:val="de-DE"/>
              </w:rPr>
            </w:pPr>
            <w:r>
              <w:rPr>
                <w:rFonts w:cs="Arial"/>
                <w:lang w:val="de-DE"/>
              </w:rPr>
              <w:t xml:space="preserve">Ja, </w:t>
            </w:r>
            <w:r>
              <w:rPr>
                <w:rFonts w:cs="Arial"/>
                <w:lang w:val="de-DE"/>
              </w:rPr>
              <w:br/>
              <w:t>bei Vorliegen aller Voraussetzungen</w:t>
            </w:r>
          </w:p>
        </w:tc>
      </w:tr>
    </w:tbl>
    <w:p w:rsidR="007B3088" w:rsidRPr="007B3088" w:rsidRDefault="007B3088" w:rsidP="00B952A7">
      <w:pPr>
        <w:spacing w:line="276" w:lineRule="auto"/>
        <w:jc w:val="both"/>
        <w:rPr>
          <w:rFonts w:cs="Arial"/>
        </w:rPr>
      </w:pPr>
    </w:p>
    <w:p w:rsidR="00B91056" w:rsidRDefault="00596872" w:rsidP="00055CAA">
      <w:pPr>
        <w:shd w:val="clear" w:color="auto" w:fill="FABF8F" w:themeFill="accent6" w:themeFillTint="99"/>
        <w:tabs>
          <w:tab w:val="left" w:pos="8930"/>
        </w:tabs>
        <w:spacing w:line="276" w:lineRule="auto"/>
        <w:jc w:val="both"/>
        <w:rPr>
          <w:rFonts w:cs="Arial"/>
          <w:highlight w:val="yellow"/>
        </w:rPr>
      </w:pPr>
      <w:r w:rsidRPr="00055CAA">
        <w:rPr>
          <w:rFonts w:cs="Arial"/>
          <w:b/>
          <w:bCs/>
          <w:lang w:val="de-DE"/>
        </w:rPr>
        <w:t>TIPP</w:t>
      </w:r>
      <w:r>
        <w:rPr>
          <w:rFonts w:cs="Arial"/>
          <w:lang w:val="de-DE"/>
        </w:rPr>
        <w:t xml:space="preserve">: </w:t>
      </w:r>
      <w:r w:rsidR="007B3088">
        <w:rPr>
          <w:rFonts w:cs="Arial"/>
          <w:lang w:val="de-DE"/>
        </w:rPr>
        <w:t xml:space="preserve">In aller Regel wird für den Arbeitgeber die Teuerungsprämie </w:t>
      </w:r>
      <w:r w:rsidR="002E6104">
        <w:rPr>
          <w:rFonts w:cs="Arial"/>
          <w:lang w:val="de-DE"/>
        </w:rPr>
        <w:t>für d</w:t>
      </w:r>
      <w:r>
        <w:rPr>
          <w:rFonts w:cs="Arial"/>
          <w:lang w:val="de-DE"/>
        </w:rPr>
        <w:t>ie</w:t>
      </w:r>
      <w:r w:rsidR="002E6104">
        <w:rPr>
          <w:rFonts w:cs="Arial"/>
          <w:lang w:val="de-DE"/>
        </w:rPr>
        <w:t xml:space="preserve"> Jahr</w:t>
      </w:r>
      <w:r>
        <w:rPr>
          <w:rFonts w:cs="Arial"/>
          <w:lang w:val="de-DE"/>
        </w:rPr>
        <w:t>e</w:t>
      </w:r>
      <w:r w:rsidR="002E6104">
        <w:rPr>
          <w:rFonts w:cs="Arial"/>
          <w:lang w:val="de-DE"/>
        </w:rPr>
        <w:t xml:space="preserve"> 2022 und 2023 </w:t>
      </w:r>
      <w:r w:rsidR="007B3088">
        <w:rPr>
          <w:rFonts w:cs="Arial"/>
          <w:lang w:val="de-DE"/>
        </w:rPr>
        <w:t>das präferierte Instrument sein</w:t>
      </w:r>
      <w:r w:rsidR="002E6104">
        <w:rPr>
          <w:rFonts w:cs="Arial"/>
          <w:lang w:val="de-DE"/>
        </w:rPr>
        <w:t>.</w:t>
      </w:r>
    </w:p>
    <w:p w:rsidR="007B3088" w:rsidRDefault="007B3088" w:rsidP="00B952A7">
      <w:pPr>
        <w:tabs>
          <w:tab w:val="left" w:pos="9639"/>
        </w:tabs>
        <w:spacing w:line="276" w:lineRule="auto"/>
        <w:jc w:val="both"/>
        <w:rPr>
          <w:rFonts w:cs="Arial"/>
          <w:highlight w:val="yellow"/>
        </w:rPr>
      </w:pPr>
    </w:p>
    <w:p w:rsidR="00E5792C" w:rsidRPr="00047CB2" w:rsidRDefault="00E5792C" w:rsidP="00B952A7">
      <w:pPr>
        <w:tabs>
          <w:tab w:val="left" w:pos="9639"/>
        </w:tabs>
        <w:spacing w:line="276" w:lineRule="auto"/>
        <w:jc w:val="both"/>
        <w:rPr>
          <w:rFonts w:cs="Arial"/>
          <w:highlight w:val="yellow"/>
        </w:rPr>
      </w:pPr>
    </w:p>
    <w:p w:rsidR="00B91056" w:rsidRPr="00E5792C" w:rsidRDefault="00E5792C" w:rsidP="007359AA">
      <w:pPr>
        <w:pStyle w:val="berschrift1"/>
        <w:numPr>
          <w:ilvl w:val="0"/>
          <w:numId w:val="24"/>
        </w:numPr>
        <w:ind w:left="284" w:hanging="284"/>
        <w:rPr>
          <w:color w:val="E36C0A" w:themeColor="accent6" w:themeShade="BF"/>
          <w:sz w:val="24"/>
          <w:szCs w:val="24"/>
          <w:u w:val="none"/>
        </w:rPr>
      </w:pPr>
      <w:bookmarkStart w:id="149" w:name="_Toc306629740"/>
      <w:bookmarkStart w:id="150" w:name="_Toc306630534"/>
      <w:bookmarkStart w:id="151" w:name="_Toc306632161"/>
      <w:bookmarkStart w:id="152" w:name="_Toc306693586"/>
      <w:bookmarkStart w:id="153" w:name="_Toc116494075"/>
      <w:bookmarkStart w:id="154" w:name="_Toc116923153"/>
      <w:r w:rsidRPr="00E5792C">
        <w:rPr>
          <w:color w:val="E36C0A" w:themeColor="accent6" w:themeShade="BF"/>
          <w:sz w:val="24"/>
          <w:szCs w:val="24"/>
          <w:u w:val="none"/>
        </w:rPr>
        <w:t>WEIHNACHTSGESCHENKE BIS € 186 STEUERFREI</w:t>
      </w:r>
      <w:bookmarkEnd w:id="149"/>
      <w:bookmarkEnd w:id="150"/>
      <w:bookmarkEnd w:id="151"/>
      <w:bookmarkEnd w:id="152"/>
      <w:bookmarkEnd w:id="153"/>
      <w:bookmarkEnd w:id="154"/>
    </w:p>
    <w:p w:rsidR="00B91056" w:rsidRPr="002E6104" w:rsidRDefault="00B91056" w:rsidP="00E5792C">
      <w:pPr>
        <w:spacing w:before="240" w:line="276" w:lineRule="auto"/>
        <w:jc w:val="both"/>
        <w:rPr>
          <w:rFonts w:cs="Arial"/>
        </w:rPr>
      </w:pPr>
      <w:bookmarkStart w:id="155" w:name="_Toc306629741"/>
      <w:bookmarkStart w:id="156" w:name="_Toc306630535"/>
      <w:bookmarkStart w:id="157" w:name="_Toc306632162"/>
      <w:bookmarkStart w:id="158" w:name="_Toc306693587"/>
      <w:r w:rsidRPr="002E6104">
        <w:rPr>
          <w:rFonts w:cs="Arial"/>
        </w:rPr>
        <w:t xml:space="preserve">(Weihnachts-)Geschenke an </w:t>
      </w:r>
      <w:r w:rsidR="00055CAA">
        <w:rPr>
          <w:rFonts w:cs="Arial"/>
        </w:rPr>
        <w:t>Mitarbeiter</w:t>
      </w:r>
      <w:r w:rsidRPr="002E6104">
        <w:rPr>
          <w:rFonts w:cs="Arial"/>
        </w:rPr>
        <w:t xml:space="preserve"> sind innerhalb eines </w:t>
      </w:r>
      <w:r w:rsidRPr="002E6104">
        <w:rPr>
          <w:rFonts w:cs="Arial"/>
          <w:b/>
        </w:rPr>
        <w:t>Freibetrages von € 186 jährlich lohn</w:t>
      </w:r>
      <w:r w:rsidR="002903A7" w:rsidRPr="002E6104">
        <w:rPr>
          <w:rFonts w:cs="Arial"/>
          <w:b/>
        </w:rPr>
        <w:softHyphen/>
      </w:r>
      <w:r w:rsidRPr="002E6104">
        <w:rPr>
          <w:rFonts w:cs="Arial"/>
          <w:b/>
        </w:rPr>
        <w:t>steuer- und sozialversicherungsfrei</w:t>
      </w:r>
      <w:r w:rsidRPr="002E6104">
        <w:rPr>
          <w:rFonts w:cs="Arial"/>
        </w:rPr>
        <w:t>, wenn es sich um Sachzuwendungen handelt (zB Waren</w:t>
      </w:r>
      <w:r w:rsidR="00055CAA">
        <w:rPr>
          <w:rFonts w:cs="Arial"/>
        </w:rPr>
        <w:softHyphen/>
      </w:r>
      <w:r w:rsidRPr="002E6104">
        <w:rPr>
          <w:rFonts w:cs="Arial"/>
        </w:rPr>
        <w:t xml:space="preserve">gutscheine, Goldmünzen). </w:t>
      </w:r>
      <w:r w:rsidRPr="002E6104">
        <w:rPr>
          <w:rFonts w:cs="Arial"/>
          <w:b/>
        </w:rPr>
        <w:t>Geldgeschenke sind immer steuerpflichtig</w:t>
      </w:r>
      <w:r w:rsidRPr="002E6104">
        <w:rPr>
          <w:rFonts w:cs="Arial"/>
        </w:rPr>
        <w:t>.</w:t>
      </w:r>
      <w:bookmarkEnd w:id="155"/>
      <w:bookmarkEnd w:id="156"/>
      <w:bookmarkEnd w:id="157"/>
      <w:bookmarkEnd w:id="158"/>
    </w:p>
    <w:p w:rsidR="00B91056" w:rsidRPr="002E6104" w:rsidRDefault="00B91056" w:rsidP="00E5792C">
      <w:pPr>
        <w:shd w:val="clear" w:color="auto" w:fill="B8CCE4" w:themeFill="accent1" w:themeFillTint="66"/>
        <w:spacing w:line="276" w:lineRule="auto"/>
        <w:jc w:val="both"/>
        <w:rPr>
          <w:rFonts w:cs="Arial"/>
        </w:rPr>
      </w:pPr>
      <w:bookmarkStart w:id="159" w:name="_Toc306629742"/>
      <w:bookmarkStart w:id="160" w:name="_Toc306630536"/>
      <w:bookmarkStart w:id="161" w:name="_Toc306632163"/>
      <w:bookmarkStart w:id="162" w:name="_Toc306693588"/>
      <w:r w:rsidRPr="002E6104">
        <w:rPr>
          <w:rFonts w:cs="Arial"/>
          <w:b/>
        </w:rPr>
        <w:t>Achtung</w:t>
      </w:r>
      <w:r w:rsidRPr="002E6104">
        <w:rPr>
          <w:rFonts w:cs="Arial"/>
        </w:rPr>
        <w:t xml:space="preserve">: Wenn die Geschenke an Dienstnehmer über bloße Aufmerksamkeiten (zB Bücher, CDs, Blumen) hinausgehen, besteht auch </w:t>
      </w:r>
      <w:r w:rsidRPr="002E6104">
        <w:rPr>
          <w:rFonts w:cs="Arial"/>
          <w:b/>
        </w:rPr>
        <w:t xml:space="preserve">Umsatzsteuerpflicht </w:t>
      </w:r>
      <w:r w:rsidRPr="002E6104">
        <w:rPr>
          <w:rFonts w:cs="Arial"/>
        </w:rPr>
        <w:t>(sofern dafür ein Vorsteuerabzug geltend gemacht werden konnte).</w:t>
      </w:r>
      <w:bookmarkEnd w:id="159"/>
      <w:bookmarkEnd w:id="160"/>
      <w:bookmarkEnd w:id="161"/>
      <w:bookmarkEnd w:id="162"/>
    </w:p>
    <w:p w:rsidR="00A7766D" w:rsidRDefault="00A7766D" w:rsidP="00E5792C">
      <w:pPr>
        <w:spacing w:line="276" w:lineRule="auto"/>
        <w:jc w:val="both"/>
        <w:rPr>
          <w:rFonts w:cs="Arial"/>
          <w:highlight w:val="yellow"/>
        </w:rPr>
      </w:pPr>
    </w:p>
    <w:p w:rsidR="00EE4F1D" w:rsidRPr="00047CB2" w:rsidRDefault="00EE4F1D" w:rsidP="00E5792C">
      <w:pPr>
        <w:spacing w:line="276" w:lineRule="auto"/>
        <w:jc w:val="both"/>
        <w:rPr>
          <w:rFonts w:cs="Arial"/>
          <w:highlight w:val="yellow"/>
        </w:rPr>
      </w:pPr>
    </w:p>
    <w:p w:rsidR="00B91056" w:rsidRPr="00E5792C" w:rsidRDefault="00E5792C" w:rsidP="007359AA">
      <w:pPr>
        <w:pStyle w:val="berschrift1"/>
        <w:numPr>
          <w:ilvl w:val="0"/>
          <w:numId w:val="24"/>
        </w:numPr>
        <w:ind w:left="284" w:hanging="284"/>
        <w:rPr>
          <w:color w:val="E36C0A" w:themeColor="accent6" w:themeShade="BF"/>
          <w:sz w:val="24"/>
          <w:szCs w:val="24"/>
          <w:u w:val="none"/>
        </w:rPr>
      </w:pPr>
      <w:bookmarkStart w:id="163" w:name="_Toc306629743"/>
      <w:bookmarkStart w:id="164" w:name="_Toc306630537"/>
      <w:bookmarkStart w:id="165" w:name="_Toc306632164"/>
      <w:bookmarkStart w:id="166" w:name="_Toc306693589"/>
      <w:bookmarkStart w:id="167" w:name="_Toc116494076"/>
      <w:bookmarkStart w:id="168" w:name="_Toc116923154"/>
      <w:r w:rsidRPr="00E5792C">
        <w:rPr>
          <w:color w:val="E36C0A" w:themeColor="accent6" w:themeShade="BF"/>
          <w:sz w:val="24"/>
          <w:szCs w:val="24"/>
          <w:u w:val="none"/>
        </w:rPr>
        <w:t>BETRIEBSVERANSTALTUNGEN BIS € 365 STEUERFREI</w:t>
      </w:r>
      <w:bookmarkEnd w:id="163"/>
      <w:bookmarkEnd w:id="164"/>
      <w:bookmarkEnd w:id="165"/>
      <w:bookmarkEnd w:id="166"/>
      <w:bookmarkEnd w:id="167"/>
      <w:bookmarkEnd w:id="168"/>
    </w:p>
    <w:p w:rsidR="00B91056" w:rsidRPr="00E5792C" w:rsidRDefault="0061669A" w:rsidP="00E5792C">
      <w:pPr>
        <w:spacing w:before="240" w:line="276" w:lineRule="auto"/>
        <w:jc w:val="both"/>
        <w:rPr>
          <w:rFonts w:cs="Arial"/>
        </w:rPr>
      </w:pPr>
      <w:bookmarkStart w:id="169" w:name="_Toc306629744"/>
      <w:bookmarkStart w:id="170" w:name="_Toc306630538"/>
      <w:bookmarkStart w:id="171" w:name="_Toc306632165"/>
      <w:bookmarkStart w:id="172" w:name="_Toc306693590"/>
      <w:r w:rsidRPr="00E5792C">
        <w:rPr>
          <w:rFonts w:cs="Arial"/>
        </w:rPr>
        <w:t>F</w:t>
      </w:r>
      <w:r w:rsidR="00A81F23" w:rsidRPr="00E5792C">
        <w:rPr>
          <w:rFonts w:cs="Arial"/>
        </w:rPr>
        <w:t>ür eine</w:t>
      </w:r>
      <w:r w:rsidR="00B91056" w:rsidRPr="00E5792C">
        <w:rPr>
          <w:rFonts w:cs="Arial"/>
        </w:rPr>
        <w:t xml:space="preserve"> </w:t>
      </w:r>
      <w:r w:rsidR="00B91056" w:rsidRPr="00E5792C">
        <w:rPr>
          <w:rFonts w:cs="Arial"/>
          <w:b/>
        </w:rPr>
        <w:t>Teilnahme an Betriebsveranstaltungen</w:t>
      </w:r>
      <w:r w:rsidR="00B91056" w:rsidRPr="00E5792C">
        <w:rPr>
          <w:rFonts w:cs="Arial"/>
        </w:rPr>
        <w:t xml:space="preserve"> (zB Betriebsausflug, Weihnachtsfeier</w:t>
      </w:r>
      <w:r w:rsidR="00A81F23" w:rsidRPr="00E5792C">
        <w:rPr>
          <w:rFonts w:cs="Arial"/>
        </w:rPr>
        <w:t>, Teammeetings</w:t>
      </w:r>
      <w:r w:rsidR="00B91056" w:rsidRPr="00E5792C">
        <w:rPr>
          <w:rFonts w:cs="Arial"/>
        </w:rPr>
        <w:t xml:space="preserve">) </w:t>
      </w:r>
      <w:r w:rsidR="00A02B05" w:rsidRPr="00E5792C">
        <w:rPr>
          <w:rFonts w:cs="Arial"/>
        </w:rPr>
        <w:t xml:space="preserve">steht </w:t>
      </w:r>
      <w:r w:rsidR="00B91056" w:rsidRPr="00E5792C">
        <w:rPr>
          <w:rFonts w:cs="Arial"/>
        </w:rPr>
        <w:t xml:space="preserve">pro </w:t>
      </w:r>
      <w:r w:rsidR="00055CAA" w:rsidRPr="00E5792C">
        <w:rPr>
          <w:rFonts w:cs="Arial"/>
        </w:rPr>
        <w:t>Mitarbeiter</w:t>
      </w:r>
      <w:r w:rsidR="00B91056" w:rsidRPr="00E5792C">
        <w:rPr>
          <w:rFonts w:cs="Arial"/>
        </w:rPr>
        <w:t xml:space="preserve"> und Jahr ein </w:t>
      </w:r>
      <w:r w:rsidR="00A81F23" w:rsidRPr="00E5792C">
        <w:rPr>
          <w:rFonts w:cs="Arial"/>
          <w:b/>
          <w:bCs/>
        </w:rPr>
        <w:t>s</w:t>
      </w:r>
      <w:r w:rsidR="00B91056" w:rsidRPr="00E5792C">
        <w:rPr>
          <w:rFonts w:cs="Arial"/>
          <w:b/>
        </w:rPr>
        <w:t>teuerfrei</w:t>
      </w:r>
      <w:r w:rsidR="00A81F23" w:rsidRPr="00E5792C">
        <w:rPr>
          <w:rFonts w:cs="Arial"/>
          <w:b/>
        </w:rPr>
        <w:t>er B</w:t>
      </w:r>
      <w:r w:rsidR="00B91056" w:rsidRPr="00E5792C">
        <w:rPr>
          <w:rFonts w:cs="Arial"/>
          <w:b/>
        </w:rPr>
        <w:t>etrag von € 365</w:t>
      </w:r>
      <w:r w:rsidR="00A81F23" w:rsidRPr="00E5792C">
        <w:rPr>
          <w:rFonts w:cs="Arial"/>
          <w:b/>
        </w:rPr>
        <w:t xml:space="preserve"> </w:t>
      </w:r>
      <w:r w:rsidR="00A81F23" w:rsidRPr="00E5792C">
        <w:rPr>
          <w:rFonts w:cs="Arial"/>
          <w:bCs/>
        </w:rPr>
        <w:t>zur Verfügung</w:t>
      </w:r>
      <w:r w:rsidR="00B91056" w:rsidRPr="00E5792C">
        <w:rPr>
          <w:rFonts w:cs="Arial"/>
        </w:rPr>
        <w:t xml:space="preserve">. </w:t>
      </w:r>
      <w:r w:rsidR="00A81F23" w:rsidRPr="00E5792C">
        <w:rPr>
          <w:rFonts w:cs="Arial"/>
        </w:rPr>
        <w:t xml:space="preserve">Dabei gilt, </w:t>
      </w:r>
      <w:r w:rsidR="00B91056" w:rsidRPr="00E5792C">
        <w:rPr>
          <w:rFonts w:cs="Arial"/>
        </w:rPr>
        <w:t>dass alle Betriebsveranstaltungen des g</w:t>
      </w:r>
      <w:r w:rsidR="00055CAA" w:rsidRPr="00E5792C">
        <w:rPr>
          <w:rFonts w:cs="Arial"/>
        </w:rPr>
        <w:t>esamten</w:t>
      </w:r>
      <w:r w:rsidR="00B91056" w:rsidRPr="00E5792C">
        <w:rPr>
          <w:rFonts w:cs="Arial"/>
        </w:rPr>
        <w:t xml:space="preserve"> Jahres zusammengerechnet werden. Ein eventueller Mehrbetrag ist steuerpflichtiger Arbeitslohn.</w:t>
      </w:r>
      <w:bookmarkEnd w:id="169"/>
      <w:bookmarkEnd w:id="170"/>
      <w:bookmarkEnd w:id="171"/>
      <w:bookmarkEnd w:id="172"/>
    </w:p>
    <w:p w:rsidR="00B91056" w:rsidRDefault="00B91056" w:rsidP="00B952A7">
      <w:pPr>
        <w:overflowPunct w:val="0"/>
        <w:autoSpaceDE w:val="0"/>
        <w:autoSpaceDN w:val="0"/>
        <w:adjustRightInd w:val="0"/>
        <w:spacing w:line="276" w:lineRule="auto"/>
        <w:jc w:val="both"/>
        <w:textAlignment w:val="baseline"/>
        <w:outlineLvl w:val="1"/>
        <w:rPr>
          <w:rFonts w:cs="Arial"/>
          <w:b/>
          <w:highlight w:val="yellow"/>
        </w:rPr>
      </w:pPr>
      <w:bookmarkStart w:id="173" w:name="_Toc306629745"/>
      <w:bookmarkStart w:id="174" w:name="_Toc306630539"/>
      <w:bookmarkStart w:id="175" w:name="_Toc306632166"/>
      <w:bookmarkStart w:id="176" w:name="_Toc306693591"/>
    </w:p>
    <w:p w:rsidR="00E5792C" w:rsidRPr="00E5792C" w:rsidRDefault="00E5792C" w:rsidP="00B952A7">
      <w:pPr>
        <w:overflowPunct w:val="0"/>
        <w:autoSpaceDE w:val="0"/>
        <w:autoSpaceDN w:val="0"/>
        <w:adjustRightInd w:val="0"/>
        <w:spacing w:line="276" w:lineRule="auto"/>
        <w:jc w:val="both"/>
        <w:textAlignment w:val="baseline"/>
        <w:outlineLvl w:val="1"/>
        <w:rPr>
          <w:rFonts w:cs="Arial"/>
          <w:b/>
          <w:highlight w:val="yellow"/>
        </w:rPr>
      </w:pPr>
    </w:p>
    <w:p w:rsidR="00B91056" w:rsidRPr="00E5792C" w:rsidRDefault="00E5792C" w:rsidP="007359AA">
      <w:pPr>
        <w:pStyle w:val="berschrift1"/>
        <w:numPr>
          <w:ilvl w:val="0"/>
          <w:numId w:val="24"/>
        </w:numPr>
        <w:ind w:left="284" w:hanging="284"/>
        <w:rPr>
          <w:bCs/>
          <w:color w:val="E36C0A" w:themeColor="accent6" w:themeShade="BF"/>
          <w:sz w:val="24"/>
          <w:szCs w:val="24"/>
          <w:u w:val="none"/>
        </w:rPr>
      </w:pPr>
      <w:bookmarkStart w:id="177" w:name="_Toc116494077"/>
      <w:bookmarkStart w:id="178" w:name="_Toc116923155"/>
      <w:r w:rsidRPr="00E5792C">
        <w:rPr>
          <w:bCs/>
          <w:color w:val="E36C0A" w:themeColor="accent6" w:themeShade="BF"/>
          <w:sz w:val="24"/>
          <w:szCs w:val="24"/>
          <w:u w:val="none"/>
        </w:rPr>
        <w:t>SACHZUWENDUNGEN ANLÄSSLICH EINES DIENST- ODER FIRMENJUBILÄUMS BIS € 186 STEUERFREI</w:t>
      </w:r>
      <w:bookmarkEnd w:id="177"/>
      <w:bookmarkEnd w:id="178"/>
    </w:p>
    <w:p w:rsidR="00B91056" w:rsidRPr="002E6104" w:rsidRDefault="00B91056" w:rsidP="00B952A7">
      <w:pPr>
        <w:spacing w:line="276" w:lineRule="auto"/>
        <w:jc w:val="both"/>
        <w:rPr>
          <w:rFonts w:cs="Arial"/>
        </w:rPr>
      </w:pPr>
      <w:r w:rsidRPr="002E6104">
        <w:rPr>
          <w:rFonts w:cs="Arial"/>
        </w:rPr>
        <w:t xml:space="preserve">Sachzuwendungen an </w:t>
      </w:r>
      <w:r w:rsidR="00055CAA">
        <w:rPr>
          <w:rFonts w:cs="Arial"/>
        </w:rPr>
        <w:t>Mitarbeiter</w:t>
      </w:r>
      <w:r w:rsidRPr="002E6104">
        <w:rPr>
          <w:rFonts w:cs="Arial"/>
        </w:rPr>
        <w:t xml:space="preserve">, die anlässlich eines Firmen- oder Dienstjubiläums gewährt werden, </w:t>
      </w:r>
      <w:r w:rsidR="00663243" w:rsidRPr="002E6104">
        <w:rPr>
          <w:rFonts w:cs="Arial"/>
        </w:rPr>
        <w:t xml:space="preserve">sind </w:t>
      </w:r>
      <w:r w:rsidRPr="002E6104">
        <w:rPr>
          <w:rFonts w:cs="Arial"/>
        </w:rPr>
        <w:t>bis € 186</w:t>
      </w:r>
      <w:r w:rsidR="00055CAA">
        <w:rPr>
          <w:rFonts w:cs="Arial"/>
        </w:rPr>
        <w:t xml:space="preserve"> pro Person und Jahr </w:t>
      </w:r>
      <w:r w:rsidRPr="002E6104">
        <w:rPr>
          <w:rFonts w:cs="Arial"/>
        </w:rPr>
        <w:t>steuerfrei.</w:t>
      </w:r>
    </w:p>
    <w:p w:rsidR="00B91056" w:rsidRDefault="00B91056" w:rsidP="00B952A7">
      <w:pPr>
        <w:overflowPunct w:val="0"/>
        <w:autoSpaceDE w:val="0"/>
        <w:autoSpaceDN w:val="0"/>
        <w:adjustRightInd w:val="0"/>
        <w:spacing w:line="276" w:lineRule="auto"/>
        <w:jc w:val="both"/>
        <w:textAlignment w:val="baseline"/>
        <w:outlineLvl w:val="1"/>
        <w:rPr>
          <w:rFonts w:cs="Arial"/>
          <w:highlight w:val="yellow"/>
        </w:rPr>
      </w:pPr>
    </w:p>
    <w:p w:rsidR="00E5792C" w:rsidRPr="00047CB2" w:rsidRDefault="00E5792C" w:rsidP="00B952A7">
      <w:pPr>
        <w:overflowPunct w:val="0"/>
        <w:autoSpaceDE w:val="0"/>
        <w:autoSpaceDN w:val="0"/>
        <w:adjustRightInd w:val="0"/>
        <w:spacing w:line="276" w:lineRule="auto"/>
        <w:jc w:val="both"/>
        <w:textAlignment w:val="baseline"/>
        <w:outlineLvl w:val="1"/>
        <w:rPr>
          <w:rFonts w:cs="Arial"/>
          <w:highlight w:val="yellow"/>
        </w:rPr>
      </w:pPr>
    </w:p>
    <w:p w:rsidR="00B91056" w:rsidRPr="007359AA" w:rsidRDefault="00E5792C" w:rsidP="007359AA">
      <w:pPr>
        <w:pStyle w:val="berschrift1"/>
        <w:tabs>
          <w:tab w:val="clear" w:pos="432"/>
          <w:tab w:val="num" w:pos="426"/>
        </w:tabs>
        <w:rPr>
          <w:color w:val="E36C0A" w:themeColor="accent6" w:themeShade="BF"/>
          <w:sz w:val="24"/>
          <w:szCs w:val="24"/>
          <w:u w:val="none"/>
        </w:rPr>
      </w:pPr>
      <w:bookmarkStart w:id="179" w:name="_Toc116494078"/>
      <w:bookmarkStart w:id="180" w:name="_Toc116923156"/>
      <w:r w:rsidRPr="007359AA">
        <w:rPr>
          <w:bCs/>
          <w:color w:val="E36C0A" w:themeColor="accent6" w:themeShade="BF"/>
          <w:sz w:val="24"/>
          <w:szCs w:val="24"/>
          <w:u w:val="none"/>
        </w:rPr>
        <w:t>KINDERBETREUUNGSKOSTEN: € 1.000 ZUSCHUSS DES ARBEITGEBERS</w:t>
      </w:r>
      <w:r w:rsidRPr="007359AA">
        <w:rPr>
          <w:color w:val="E36C0A" w:themeColor="accent6" w:themeShade="BF"/>
          <w:sz w:val="24"/>
          <w:szCs w:val="24"/>
          <w:u w:val="none"/>
        </w:rPr>
        <w:t xml:space="preserve"> STEUERFREI</w:t>
      </w:r>
      <w:bookmarkEnd w:id="173"/>
      <w:bookmarkEnd w:id="174"/>
      <w:bookmarkEnd w:id="175"/>
      <w:bookmarkEnd w:id="176"/>
      <w:bookmarkEnd w:id="179"/>
      <w:bookmarkEnd w:id="180"/>
    </w:p>
    <w:p w:rsidR="00B91056" w:rsidRPr="002E6104" w:rsidRDefault="00B91056" w:rsidP="00E5792C">
      <w:pPr>
        <w:spacing w:before="240" w:line="276" w:lineRule="auto"/>
        <w:jc w:val="both"/>
        <w:rPr>
          <w:rFonts w:cs="Arial"/>
        </w:rPr>
      </w:pPr>
      <w:bookmarkStart w:id="181" w:name="_Toc306629746"/>
      <w:bookmarkStart w:id="182" w:name="_Toc306630540"/>
      <w:bookmarkStart w:id="183" w:name="_Toc306632167"/>
      <w:bookmarkStart w:id="184" w:name="_Toc306693592"/>
      <w:r w:rsidRPr="002E6104">
        <w:rPr>
          <w:rFonts w:cs="Arial"/>
        </w:rPr>
        <w:t xml:space="preserve">Leistet der Arbeitgeber für alle oder bestimmte Gruppen seiner </w:t>
      </w:r>
      <w:r w:rsidR="00014D6D">
        <w:rPr>
          <w:rFonts w:cs="Arial"/>
        </w:rPr>
        <w:t>Mitarbeiter</w:t>
      </w:r>
      <w:r w:rsidRPr="002E6104">
        <w:rPr>
          <w:rFonts w:cs="Arial"/>
        </w:rPr>
        <w:t xml:space="preserve"> einen Zuschuss für die Kinderbetreuung, dann ist dieser Zuschuss bis zu einem Betrag von </w:t>
      </w:r>
      <w:r w:rsidRPr="002E6104">
        <w:rPr>
          <w:rFonts w:cs="Arial"/>
          <w:b/>
        </w:rPr>
        <w:t>€</w:t>
      </w:r>
      <w:r w:rsidRPr="002E6104">
        <w:rPr>
          <w:rFonts w:cs="Arial"/>
        </w:rPr>
        <w:t xml:space="preserve"> </w:t>
      </w:r>
      <w:r w:rsidRPr="002E6104">
        <w:rPr>
          <w:rFonts w:cs="Arial"/>
          <w:b/>
        </w:rPr>
        <w:t>1.000 jährlich pro Kind bis zum zehnten Lebensjahr</w:t>
      </w:r>
      <w:r w:rsidRPr="002E6104">
        <w:rPr>
          <w:rFonts w:cs="Arial"/>
        </w:rPr>
        <w:t xml:space="preserve"> </w:t>
      </w:r>
      <w:r w:rsidRPr="002E6104">
        <w:rPr>
          <w:rFonts w:cs="Arial"/>
          <w:b/>
          <w:bCs/>
        </w:rPr>
        <w:t>von</w:t>
      </w:r>
      <w:r w:rsidRPr="002E6104">
        <w:rPr>
          <w:rFonts w:cs="Arial"/>
        </w:rPr>
        <w:t xml:space="preserve"> </w:t>
      </w:r>
      <w:r w:rsidRPr="002E6104">
        <w:rPr>
          <w:rFonts w:cs="Arial"/>
          <w:b/>
        </w:rPr>
        <w:t>Lohnsteuer und SV-Beiträgen befreit</w:t>
      </w:r>
      <w:r w:rsidRPr="002E6104">
        <w:rPr>
          <w:rFonts w:cs="Arial"/>
        </w:rPr>
        <w:t xml:space="preserve">. Voraussetzung ist, dass dem Arbeitnehmer für das Kind mehr als sechs Monate im Jahr der Kinderabsetzbetrag gewährt wird. </w:t>
      </w:r>
      <w:bookmarkEnd w:id="181"/>
      <w:bookmarkEnd w:id="182"/>
      <w:bookmarkEnd w:id="183"/>
      <w:bookmarkEnd w:id="184"/>
      <w:r w:rsidR="00732130" w:rsidRPr="002E6104">
        <w:rPr>
          <w:rFonts w:cs="Arial"/>
        </w:rPr>
        <w:t xml:space="preserve">Der Zuschuss darf nicht an den Arbeitnehmer, sondern muss direkt an eine </w:t>
      </w:r>
      <w:r w:rsidR="00732130" w:rsidRPr="002E6104">
        <w:rPr>
          <w:rFonts w:cs="Arial"/>
          <w:b/>
        </w:rPr>
        <w:t>institutionelle Kinderbetreuungs</w:t>
      </w:r>
      <w:r w:rsidR="00E5792C">
        <w:rPr>
          <w:rFonts w:cs="Arial"/>
          <w:b/>
        </w:rPr>
        <w:softHyphen/>
      </w:r>
      <w:r w:rsidR="00732130" w:rsidRPr="002E6104">
        <w:rPr>
          <w:rFonts w:cs="Arial"/>
          <w:b/>
        </w:rPr>
        <w:t>einrichtung</w:t>
      </w:r>
      <w:r w:rsidR="00732130" w:rsidRPr="002E6104">
        <w:rPr>
          <w:rFonts w:cs="Arial"/>
        </w:rPr>
        <w:t xml:space="preserve"> (zB Kindergarten), an eine </w:t>
      </w:r>
      <w:r w:rsidR="00732130" w:rsidRPr="002E6104">
        <w:rPr>
          <w:rFonts w:cs="Arial"/>
          <w:b/>
        </w:rPr>
        <w:t>pädagogisch qualifizierte Person</w:t>
      </w:r>
      <w:r w:rsidR="00732130" w:rsidRPr="002E6104">
        <w:rPr>
          <w:rFonts w:cs="Arial"/>
        </w:rPr>
        <w:t xml:space="preserve"> oder in Form eines </w:t>
      </w:r>
      <w:r w:rsidR="00732130" w:rsidRPr="002E6104">
        <w:rPr>
          <w:rFonts w:cs="Arial"/>
          <w:b/>
        </w:rPr>
        <w:t>Gutscheins</w:t>
      </w:r>
      <w:r w:rsidR="00732130" w:rsidRPr="002E6104">
        <w:rPr>
          <w:rFonts w:cs="Arial"/>
        </w:rPr>
        <w:t xml:space="preserve"> einer institutionellen Kinderbetreuungseinrichtung geleistet werden. </w:t>
      </w:r>
    </w:p>
    <w:p w:rsidR="00B91056" w:rsidRPr="005349C1" w:rsidRDefault="00B91056" w:rsidP="00B952A7">
      <w:pPr>
        <w:tabs>
          <w:tab w:val="left" w:pos="9639"/>
        </w:tabs>
        <w:spacing w:line="276" w:lineRule="auto"/>
        <w:jc w:val="both"/>
        <w:rPr>
          <w:rFonts w:cs="Arial"/>
        </w:rPr>
      </w:pPr>
    </w:p>
    <w:p w:rsidR="00E5792C" w:rsidRPr="005349C1" w:rsidRDefault="00E5792C" w:rsidP="00B952A7">
      <w:pPr>
        <w:tabs>
          <w:tab w:val="left" w:pos="9639"/>
        </w:tabs>
        <w:spacing w:line="276" w:lineRule="auto"/>
        <w:jc w:val="both"/>
        <w:rPr>
          <w:rFonts w:cs="Arial"/>
        </w:rPr>
      </w:pPr>
    </w:p>
    <w:p w:rsidR="00BC6717" w:rsidRPr="00E5792C" w:rsidRDefault="00E5792C" w:rsidP="007359AA">
      <w:pPr>
        <w:pStyle w:val="berschrift1"/>
        <w:numPr>
          <w:ilvl w:val="0"/>
          <w:numId w:val="24"/>
        </w:numPr>
        <w:ind w:left="284" w:hanging="284"/>
        <w:rPr>
          <w:color w:val="E36C0A" w:themeColor="accent6" w:themeShade="BF"/>
          <w:sz w:val="24"/>
          <w:szCs w:val="24"/>
          <w:u w:val="none"/>
        </w:rPr>
      </w:pPr>
      <w:bookmarkStart w:id="185" w:name="_Toc116494079"/>
      <w:bookmarkStart w:id="186" w:name="_Toc116923157"/>
      <w:r w:rsidRPr="00E5792C">
        <w:rPr>
          <w:color w:val="E36C0A" w:themeColor="accent6" w:themeShade="BF"/>
          <w:sz w:val="24"/>
          <w:szCs w:val="24"/>
          <w:u w:val="none"/>
        </w:rPr>
        <w:t>STEUERFREIES JOBTICKET BZW KLIMATICKET</w:t>
      </w:r>
      <w:bookmarkEnd w:id="185"/>
      <w:bookmarkEnd w:id="186"/>
    </w:p>
    <w:p w:rsidR="00231812" w:rsidRPr="002E6104" w:rsidRDefault="00B91056" w:rsidP="00E5792C">
      <w:pPr>
        <w:spacing w:before="240" w:line="276" w:lineRule="auto"/>
        <w:jc w:val="both"/>
        <w:rPr>
          <w:rFonts w:cs="Arial"/>
          <w:lang w:val="de-DE"/>
        </w:rPr>
      </w:pPr>
      <w:r w:rsidRPr="002E6104">
        <w:rPr>
          <w:rFonts w:cs="Arial"/>
          <w:lang w:val="de-DE"/>
        </w:rPr>
        <w:t xml:space="preserve">Zur Förderung der Benützung öffentlicher Verkehrsmittel können </w:t>
      </w:r>
      <w:r w:rsidRPr="002E6104">
        <w:rPr>
          <w:rFonts w:cs="Arial"/>
          <w:lang w:val="pt-PT"/>
        </w:rPr>
        <w:t>die Kosten für ein öffentliches Verkehrsmittel (“</w:t>
      </w:r>
      <w:r w:rsidRPr="002E6104">
        <w:rPr>
          <w:rFonts w:cs="Arial"/>
          <w:b/>
          <w:lang w:val="pt-PT"/>
        </w:rPr>
        <w:t>Jobticket</w:t>
      </w:r>
      <w:r w:rsidRPr="002E6104">
        <w:rPr>
          <w:rFonts w:cs="Arial"/>
          <w:lang w:val="pt-PT"/>
        </w:rPr>
        <w:t xml:space="preserve">”) auch dann steuerfrei vom Dienstgeber übernommen werden, wenn </w:t>
      </w:r>
      <w:r w:rsidR="002D1681">
        <w:rPr>
          <w:rFonts w:cs="Arial"/>
          <w:lang w:val="pt-PT"/>
        </w:rPr>
        <w:t>das Ticket zumindest am Wohnort oder am Arbeitsort gültig ist</w:t>
      </w:r>
      <w:r w:rsidRPr="002E6104">
        <w:rPr>
          <w:rFonts w:cs="Arial"/>
          <w:lang w:val="pt-PT"/>
        </w:rPr>
        <w:t>.</w:t>
      </w:r>
      <w:r w:rsidRPr="002E6104">
        <w:rPr>
          <w:rFonts w:cs="Arial"/>
          <w:lang w:val="de-DE"/>
        </w:rPr>
        <w:t xml:space="preserve"> </w:t>
      </w:r>
      <w:r w:rsidR="002E6104" w:rsidRPr="002E6104">
        <w:rPr>
          <w:rFonts w:cs="Arial"/>
          <w:lang w:val="de-DE"/>
        </w:rPr>
        <w:t>Unter das Jobticket fällt auch das sog</w:t>
      </w:r>
      <w:r w:rsidR="00E5792C">
        <w:rPr>
          <w:rFonts w:cs="Arial"/>
          <w:lang w:val="de-DE"/>
        </w:rPr>
        <w:t>enannte</w:t>
      </w:r>
      <w:r w:rsidR="002E6104" w:rsidRPr="002E6104">
        <w:rPr>
          <w:rFonts w:cs="Arial"/>
          <w:lang w:val="de-DE"/>
        </w:rPr>
        <w:t xml:space="preserve"> Klimaticket (auch als 1-2-3-Ticket bekannt).</w:t>
      </w:r>
    </w:p>
    <w:p w:rsidR="00231812" w:rsidRPr="002E6104" w:rsidRDefault="00231812" w:rsidP="00E5792C">
      <w:pPr>
        <w:spacing w:line="276" w:lineRule="auto"/>
        <w:jc w:val="both"/>
        <w:rPr>
          <w:rFonts w:cs="Arial"/>
          <w:lang w:val="de-DE"/>
        </w:rPr>
      </w:pPr>
    </w:p>
    <w:p w:rsidR="00DC334B" w:rsidRDefault="00B665F7" w:rsidP="00E5792C">
      <w:pPr>
        <w:spacing w:line="276" w:lineRule="auto"/>
        <w:jc w:val="both"/>
        <w:rPr>
          <w:rFonts w:cs="Arial"/>
          <w:lang w:val="de-DE"/>
        </w:rPr>
      </w:pPr>
      <w:r w:rsidRPr="002E6104">
        <w:rPr>
          <w:rFonts w:cs="Arial"/>
          <w:lang w:val="de-DE"/>
        </w:rPr>
        <w:t>Die Zurverfügungstellung ist durch gänzliche oder teilweise Kostenübernahme möglich. Die Verlängerung von Tickets, insbesondere von Jahreskarten</w:t>
      </w:r>
      <w:r w:rsidR="00EF67AE">
        <w:rPr>
          <w:rFonts w:cs="Arial"/>
          <w:lang w:val="de-DE"/>
        </w:rPr>
        <w:t>,</w:t>
      </w:r>
      <w:r w:rsidRPr="002E6104">
        <w:rPr>
          <w:rFonts w:cs="Arial"/>
          <w:lang w:val="de-DE"/>
        </w:rPr>
        <w:t xml:space="preserve"> stellt einen Ticketerwerb dar. </w:t>
      </w:r>
      <w:r w:rsidR="00B91056" w:rsidRPr="002E6104">
        <w:rPr>
          <w:rFonts w:cs="Arial"/>
          <w:lang w:val="de-DE"/>
        </w:rPr>
        <w:t xml:space="preserve">Wird das Jobticket allerdings anstatt des bisher gezahlten steuerpflichtigen Arbeitslohns zur Verfügung gestellt, dann liegt eine nicht begünstigte, steuerpflichtige Gehaltsumwandlung vor. </w:t>
      </w:r>
    </w:p>
    <w:p w:rsidR="005349C1" w:rsidRDefault="005349C1" w:rsidP="00E5792C">
      <w:pPr>
        <w:spacing w:line="276" w:lineRule="auto"/>
        <w:jc w:val="both"/>
        <w:rPr>
          <w:rFonts w:cs="Arial"/>
          <w:lang w:val="de-DE"/>
        </w:rPr>
      </w:pPr>
    </w:p>
    <w:p w:rsidR="005349C1" w:rsidRDefault="005349C1" w:rsidP="00E5792C">
      <w:pPr>
        <w:spacing w:line="276" w:lineRule="auto"/>
        <w:jc w:val="both"/>
        <w:rPr>
          <w:rFonts w:cs="Arial"/>
          <w:lang w:val="de-DE"/>
        </w:rPr>
      </w:pPr>
    </w:p>
    <w:p w:rsidR="002A2ED9" w:rsidRPr="00E5792C" w:rsidRDefault="00E5792C" w:rsidP="007359AA">
      <w:pPr>
        <w:pStyle w:val="berschrift1"/>
        <w:numPr>
          <w:ilvl w:val="0"/>
          <w:numId w:val="24"/>
        </w:numPr>
        <w:ind w:left="284" w:hanging="284"/>
        <w:rPr>
          <w:color w:val="E36C0A" w:themeColor="accent6" w:themeShade="BF"/>
          <w:sz w:val="24"/>
          <w:szCs w:val="24"/>
          <w:u w:val="none"/>
        </w:rPr>
      </w:pPr>
      <w:bookmarkStart w:id="187" w:name="_Toc116494080"/>
      <w:bookmarkStart w:id="188" w:name="_Toc116923158"/>
      <w:r w:rsidRPr="00E5792C">
        <w:rPr>
          <w:color w:val="E36C0A" w:themeColor="accent6" w:themeShade="BF"/>
          <w:sz w:val="24"/>
          <w:szCs w:val="24"/>
          <w:u w:val="none"/>
        </w:rPr>
        <w:t>HOMEOFFICE</w:t>
      </w:r>
      <w:bookmarkEnd w:id="187"/>
      <w:bookmarkEnd w:id="188"/>
    </w:p>
    <w:p w:rsidR="00231812" w:rsidRPr="00E5792C" w:rsidRDefault="002E6104" w:rsidP="00E5792C">
      <w:pPr>
        <w:spacing w:before="240" w:line="276" w:lineRule="auto"/>
        <w:jc w:val="both"/>
        <w:rPr>
          <w:rFonts w:cs="Arial"/>
          <w:lang w:val="de-DE"/>
        </w:rPr>
      </w:pPr>
      <w:r w:rsidRPr="00E5792C">
        <w:rPr>
          <w:rFonts w:cs="Arial"/>
          <w:lang w:val="de-DE"/>
        </w:rPr>
        <w:t>Als Abgeltung</w:t>
      </w:r>
      <w:r w:rsidR="008B694F" w:rsidRPr="00E5792C">
        <w:rPr>
          <w:rFonts w:cs="Arial"/>
          <w:lang w:val="de-DE"/>
        </w:rPr>
        <w:t xml:space="preserve"> der Mehrkosten seiner </w:t>
      </w:r>
      <w:r w:rsidR="00014D6D" w:rsidRPr="00E5792C">
        <w:rPr>
          <w:rFonts w:cs="Arial"/>
          <w:lang w:val="de-DE"/>
        </w:rPr>
        <w:t xml:space="preserve">Mitarbeiter </w:t>
      </w:r>
      <w:r w:rsidR="008B694F" w:rsidRPr="00E5792C">
        <w:rPr>
          <w:rFonts w:cs="Arial"/>
          <w:lang w:val="de-DE"/>
        </w:rPr>
        <w:t>im Homeoffic</w:t>
      </w:r>
      <w:r w:rsidRPr="00E5792C">
        <w:rPr>
          <w:rFonts w:cs="Arial"/>
          <w:lang w:val="de-DE"/>
        </w:rPr>
        <w:t>e kann der Arbeitgeber</w:t>
      </w:r>
      <w:r w:rsidR="008B694F" w:rsidRPr="00E5792C">
        <w:rPr>
          <w:rFonts w:cs="Arial"/>
          <w:lang w:val="de-DE"/>
        </w:rPr>
        <w:t xml:space="preserve"> </w:t>
      </w:r>
      <w:r w:rsidR="008B694F" w:rsidRPr="00E5792C">
        <w:rPr>
          <w:rFonts w:cs="Arial"/>
          <w:b/>
          <w:bCs/>
          <w:lang w:val="de-DE"/>
        </w:rPr>
        <w:t>für maximal 100 Tage pro Kalenderjahr bis zu € 3 pro Homeoffice-Tag (= € 300 pro Jahr) steuerfrei</w:t>
      </w:r>
      <w:r w:rsidR="008B694F" w:rsidRPr="00E5792C">
        <w:rPr>
          <w:rFonts w:cs="Arial"/>
          <w:lang w:val="de-DE"/>
        </w:rPr>
        <w:t xml:space="preserve"> </w:t>
      </w:r>
      <w:r w:rsidRPr="00E5792C">
        <w:rPr>
          <w:rFonts w:cs="Arial"/>
          <w:lang w:val="de-DE"/>
        </w:rPr>
        <w:t>ausbezahlen</w:t>
      </w:r>
      <w:r w:rsidR="008B694F" w:rsidRPr="00E5792C">
        <w:rPr>
          <w:rFonts w:cs="Arial"/>
          <w:lang w:val="de-DE"/>
        </w:rPr>
        <w:t xml:space="preserve">. </w:t>
      </w:r>
      <w:r w:rsidR="00B33266" w:rsidRPr="00E5792C">
        <w:rPr>
          <w:rFonts w:cs="Arial"/>
          <w:lang w:val="de-DE"/>
        </w:rPr>
        <w:t>Für die Berücksichtigung dieses Homeoffice-Pauschales muss die berufliche Tätigkeit auf Grund einer mit dem Arbeitgeber getroffenen Vereinbarung (=</w:t>
      </w:r>
      <w:r w:rsidR="00AE43DC" w:rsidRPr="00E5792C">
        <w:rPr>
          <w:rFonts w:cs="Arial"/>
          <w:lang w:val="de-DE"/>
        </w:rPr>
        <w:t xml:space="preserve"> </w:t>
      </w:r>
      <w:r w:rsidR="00B33266" w:rsidRPr="00E5792C">
        <w:rPr>
          <w:rFonts w:cs="Arial"/>
          <w:lang w:val="de-DE"/>
        </w:rPr>
        <w:t>Homeoffice</w:t>
      </w:r>
      <w:r w:rsidR="00AE43DC" w:rsidRPr="00E5792C">
        <w:rPr>
          <w:rFonts w:cs="Arial"/>
          <w:lang w:val="de-DE"/>
        </w:rPr>
        <w:t>-</w:t>
      </w:r>
      <w:r w:rsidR="00B33266" w:rsidRPr="00E5792C">
        <w:rPr>
          <w:rFonts w:cs="Arial"/>
          <w:lang w:val="de-DE"/>
        </w:rPr>
        <w:t xml:space="preserve">Vereinbarung) in der Wohnung des Arbeitnehmers ausgeübt werden. </w:t>
      </w:r>
    </w:p>
    <w:p w:rsidR="00B33266" w:rsidRPr="00E5792C" w:rsidRDefault="00B33266" w:rsidP="009078D4">
      <w:pPr>
        <w:spacing w:line="276" w:lineRule="auto"/>
        <w:jc w:val="both"/>
        <w:rPr>
          <w:rFonts w:cs="Arial"/>
          <w:lang w:val="de-DE"/>
        </w:rPr>
      </w:pPr>
      <w:r w:rsidRPr="00E5792C">
        <w:rPr>
          <w:rFonts w:cs="Arial"/>
          <w:lang w:val="de-DE"/>
        </w:rPr>
        <w:t xml:space="preserve">Um die Homeoffice-Tage belegen zu können, hat der Arbeitgeber eine </w:t>
      </w:r>
      <w:r w:rsidRPr="00E5792C">
        <w:rPr>
          <w:rFonts w:cs="Arial"/>
          <w:b/>
          <w:bCs/>
          <w:lang w:val="de-DE"/>
        </w:rPr>
        <w:t>Aufzeichnungspflicht</w:t>
      </w:r>
      <w:r w:rsidRPr="00E5792C">
        <w:rPr>
          <w:rFonts w:cs="Arial"/>
          <w:lang w:val="de-DE"/>
        </w:rPr>
        <w:t xml:space="preserve"> dieser Tage. Die </w:t>
      </w:r>
      <w:r w:rsidRPr="00E5792C">
        <w:rPr>
          <w:rFonts w:cs="Arial"/>
          <w:b/>
          <w:bCs/>
          <w:lang w:val="de-DE"/>
        </w:rPr>
        <w:t>Anzahl der Homeoffice-Tage</w:t>
      </w:r>
      <w:r w:rsidRPr="00E5792C">
        <w:rPr>
          <w:rFonts w:cs="Arial"/>
          <w:lang w:val="de-DE"/>
        </w:rPr>
        <w:t xml:space="preserve"> </w:t>
      </w:r>
      <w:r w:rsidR="002D1681" w:rsidRPr="00E5792C">
        <w:rPr>
          <w:rFonts w:cs="Arial"/>
          <w:lang w:val="de-DE"/>
        </w:rPr>
        <w:t xml:space="preserve">muss </w:t>
      </w:r>
      <w:r w:rsidRPr="00E5792C">
        <w:rPr>
          <w:rFonts w:cs="Arial"/>
          <w:lang w:val="de-DE"/>
        </w:rPr>
        <w:t xml:space="preserve">im Lohnkonto und im Lohnzettel (L16) angeführt werden. </w:t>
      </w:r>
      <w:r w:rsidR="00E82651" w:rsidRPr="00E5792C">
        <w:rPr>
          <w:rFonts w:cs="Arial"/>
          <w:lang w:val="de-DE"/>
        </w:rPr>
        <w:t>Wird das Homeoffice-Pauschale nicht bis zur maximalen Höhe vom Arbeitgeber ausgeschöpft</w:t>
      </w:r>
      <w:r w:rsidRPr="00E5792C">
        <w:rPr>
          <w:rFonts w:cs="Arial"/>
          <w:lang w:val="de-DE"/>
        </w:rPr>
        <w:t xml:space="preserve">, kann der </w:t>
      </w:r>
      <w:r w:rsidRPr="00E5792C">
        <w:rPr>
          <w:rFonts w:cs="Arial"/>
          <w:b/>
          <w:bCs/>
          <w:lang w:val="de-DE"/>
        </w:rPr>
        <w:t>Arbeitnehmer den Differenzbetrag bei seiner Arbeitnehmerveranlagung als Werbungskosten</w:t>
      </w:r>
      <w:r w:rsidRPr="00E5792C">
        <w:rPr>
          <w:rFonts w:cs="Arial"/>
          <w:lang w:val="de-DE"/>
        </w:rPr>
        <w:t xml:space="preserve"> geltend machen.</w:t>
      </w:r>
    </w:p>
    <w:p w:rsidR="00B33266" w:rsidRPr="002E6104" w:rsidRDefault="00B33266" w:rsidP="00E5792C">
      <w:pPr>
        <w:pBdr>
          <w:top w:val="single" w:sz="4" w:space="1" w:color="auto"/>
          <w:left w:val="single" w:sz="4" w:space="4" w:color="auto"/>
          <w:bottom w:val="single" w:sz="4" w:space="1" w:color="auto"/>
          <w:right w:val="single" w:sz="4" w:space="4" w:color="auto"/>
        </w:pBdr>
        <w:spacing w:line="276" w:lineRule="auto"/>
        <w:ind w:left="142"/>
        <w:jc w:val="both"/>
        <w:rPr>
          <w:i/>
        </w:rPr>
      </w:pPr>
      <w:r w:rsidRPr="002E6104">
        <w:rPr>
          <w:b/>
          <w:i/>
        </w:rPr>
        <w:t>Beispiel</w:t>
      </w:r>
      <w:r w:rsidRPr="002E6104">
        <w:rPr>
          <w:i/>
        </w:rPr>
        <w:t>:</w:t>
      </w:r>
      <w:r w:rsidR="00DC334B" w:rsidRPr="002E6104">
        <w:rPr>
          <w:i/>
        </w:rPr>
        <w:t xml:space="preserve"> Herr</w:t>
      </w:r>
      <w:r w:rsidRPr="002E6104">
        <w:rPr>
          <w:i/>
        </w:rPr>
        <w:t xml:space="preserve"> </w:t>
      </w:r>
      <w:r w:rsidR="0021388D" w:rsidRPr="002E6104">
        <w:rPr>
          <w:i/>
        </w:rPr>
        <w:t>Fritz</w:t>
      </w:r>
      <w:r w:rsidRPr="002E6104">
        <w:rPr>
          <w:i/>
        </w:rPr>
        <w:t xml:space="preserve"> arbeitet 100 Tage ausschließlich in seiner Wohnung im Homeoffice. Sein Arbeitgeber bezahlt ihm pro Homeoffice-Tag € 2, in Summe also € 200. In der Steuererklärung kann </w:t>
      </w:r>
      <w:r w:rsidR="00DC334B" w:rsidRPr="002E6104">
        <w:rPr>
          <w:i/>
        </w:rPr>
        <w:t xml:space="preserve">Herr </w:t>
      </w:r>
      <w:r w:rsidR="0021388D" w:rsidRPr="002E6104">
        <w:rPr>
          <w:i/>
        </w:rPr>
        <w:t xml:space="preserve">Fritz </w:t>
      </w:r>
      <w:r w:rsidRPr="002E6104">
        <w:rPr>
          <w:i/>
        </w:rPr>
        <w:t>den nicht ausgeschöpften Betrag von € 100 zusätzlich als Werbungskosten geltend machen. Der Betrag ergibt sich aus der Differenz zwischen dem Maximalbetrag (€ 3 x 100 = € 300) und dem vom Arbeitgeber erhaltenen Betrag in Höhe von € 200.</w:t>
      </w:r>
    </w:p>
    <w:p w:rsidR="00B33266" w:rsidRPr="002E6104" w:rsidRDefault="00B33266" w:rsidP="009078D4">
      <w:pPr>
        <w:spacing w:line="276" w:lineRule="auto"/>
        <w:jc w:val="both"/>
        <w:rPr>
          <w:lang w:val="pt-PT"/>
        </w:rPr>
      </w:pPr>
    </w:p>
    <w:p w:rsidR="00B33266" w:rsidRPr="002E6104" w:rsidRDefault="0083303C" w:rsidP="009078D4">
      <w:pPr>
        <w:spacing w:line="276" w:lineRule="auto"/>
        <w:jc w:val="both"/>
        <w:rPr>
          <w:lang w:val="pt-PT"/>
        </w:rPr>
      </w:pPr>
      <w:r w:rsidRPr="002E6104">
        <w:rPr>
          <w:lang w:val="pt-PT"/>
        </w:rPr>
        <w:t xml:space="preserve">Digitale Arbeitsmittel sowie das (Mobil)Telefon, die dem Arbeitnehmer vom Arbeitgeber für Zwecke des Homeoffice zur Verfügung gestellt werden, stellen auch bei teilweiser privater Nutzung </w:t>
      </w:r>
      <w:r w:rsidRPr="002E6104">
        <w:rPr>
          <w:b/>
          <w:lang w:val="pt-PT"/>
        </w:rPr>
        <w:t>keinen steuerpflichtigen Sachbezug</w:t>
      </w:r>
      <w:r w:rsidRPr="002E6104">
        <w:rPr>
          <w:lang w:val="pt-PT"/>
        </w:rPr>
        <w:t xml:space="preserve"> dar.</w:t>
      </w:r>
    </w:p>
    <w:p w:rsidR="0083303C" w:rsidRPr="002E6104" w:rsidRDefault="0083303C" w:rsidP="009078D4">
      <w:pPr>
        <w:spacing w:line="276" w:lineRule="auto"/>
        <w:jc w:val="both"/>
        <w:rPr>
          <w:lang w:val="pt-PT"/>
        </w:rPr>
      </w:pPr>
    </w:p>
    <w:p w:rsidR="002A2ED9" w:rsidRPr="002E6104" w:rsidRDefault="0083303C" w:rsidP="009078D4">
      <w:pPr>
        <w:spacing w:line="276" w:lineRule="auto"/>
        <w:jc w:val="both"/>
        <w:rPr>
          <w:lang w:val="pt-PT"/>
        </w:rPr>
      </w:pPr>
      <w:r w:rsidRPr="002E6104">
        <w:rPr>
          <w:lang w:val="pt-PT"/>
        </w:rPr>
        <w:t xml:space="preserve">Zusätzlich dazu können Arbeitnehmer Ausgaben für die </w:t>
      </w:r>
      <w:r w:rsidRPr="002E6104">
        <w:rPr>
          <w:b/>
          <w:lang w:val="pt-PT"/>
        </w:rPr>
        <w:t>ergonomische Einrichtung ihres häuslichen Arbeitsplatzes außerhalb eines Arbeitszimmers</w:t>
      </w:r>
      <w:r w:rsidRPr="002E6104">
        <w:rPr>
          <w:lang w:val="pt-PT"/>
        </w:rPr>
        <w:t xml:space="preserve"> </w:t>
      </w:r>
      <w:r w:rsidRPr="002E6104">
        <w:rPr>
          <w:b/>
          <w:lang w:val="pt-PT"/>
        </w:rPr>
        <w:t xml:space="preserve">zusätzlich </w:t>
      </w:r>
      <w:r w:rsidRPr="002E6104">
        <w:rPr>
          <w:lang w:val="pt-PT"/>
        </w:rPr>
        <w:t xml:space="preserve">(zB Schreibtisch, Drehstuhl, Beleuchtung) bis zu einem Betrag von € </w:t>
      </w:r>
      <w:r w:rsidR="002E6104" w:rsidRPr="002E6104">
        <w:rPr>
          <w:lang w:val="pt-PT"/>
        </w:rPr>
        <w:t>300</w:t>
      </w:r>
      <w:r w:rsidRPr="002E6104">
        <w:rPr>
          <w:lang w:val="pt-PT"/>
        </w:rPr>
        <w:t xml:space="preserve"> im Kalenderjahr 202</w:t>
      </w:r>
      <w:r w:rsidR="002E6104" w:rsidRPr="002E6104">
        <w:rPr>
          <w:lang w:val="pt-PT"/>
        </w:rPr>
        <w:t xml:space="preserve">2 </w:t>
      </w:r>
      <w:r w:rsidRPr="002E6104">
        <w:rPr>
          <w:lang w:val="pt-PT"/>
        </w:rPr>
        <w:t>als Werbungskosten geltend machen. Die Voraussetzung dafür ist allerdings, dass zumindest 26 Tage im Homeoffice gearbeitet wurde.</w:t>
      </w:r>
    </w:p>
    <w:p w:rsidR="002A2ED9" w:rsidRPr="002E6104" w:rsidRDefault="002A2ED9" w:rsidP="009078D4">
      <w:pPr>
        <w:spacing w:line="276" w:lineRule="auto"/>
        <w:jc w:val="both"/>
      </w:pPr>
    </w:p>
    <w:p w:rsidR="00B91056" w:rsidRPr="002E6104" w:rsidRDefault="0083303C" w:rsidP="009078D4">
      <w:pPr>
        <w:spacing w:line="276" w:lineRule="auto"/>
        <w:jc w:val="both"/>
        <w:rPr>
          <w:lang w:val="de-DE"/>
        </w:rPr>
      </w:pPr>
      <w:r w:rsidRPr="002E6104">
        <w:rPr>
          <w:lang w:val="de-DE"/>
        </w:rPr>
        <w:t>Hat ein Arbeitnehmer neben den ergonomischen Einrichtungen und dem Homeoffice-</w:t>
      </w:r>
      <w:r w:rsidRPr="002E6104">
        <w:rPr>
          <w:b/>
          <w:lang w:val="de-DE"/>
        </w:rPr>
        <w:t>Pauschale zusätzlich</w:t>
      </w:r>
      <w:r w:rsidRPr="002E6104">
        <w:rPr>
          <w:lang w:val="de-DE"/>
        </w:rPr>
        <w:t xml:space="preserve"> ausschließlich beruflich veranlasste </w:t>
      </w:r>
      <w:r w:rsidRPr="002E6104">
        <w:rPr>
          <w:b/>
          <w:lang w:val="de-DE"/>
        </w:rPr>
        <w:t>Arbeitsmittel</w:t>
      </w:r>
      <w:r w:rsidRPr="002E6104">
        <w:rPr>
          <w:lang w:val="de-DE"/>
        </w:rPr>
        <w:t xml:space="preserve"> angeschafft, so </w:t>
      </w:r>
      <w:r w:rsidRPr="002E6104">
        <w:rPr>
          <w:b/>
          <w:lang w:val="de-DE"/>
        </w:rPr>
        <w:t xml:space="preserve">können diese </w:t>
      </w:r>
      <w:r w:rsidR="00AE43DC" w:rsidRPr="002E6104">
        <w:rPr>
          <w:b/>
          <w:lang w:val="de-DE"/>
        </w:rPr>
        <w:t xml:space="preserve">wie </w:t>
      </w:r>
      <w:r w:rsidRPr="002E6104">
        <w:rPr>
          <w:b/>
          <w:lang w:val="de-DE"/>
        </w:rPr>
        <w:t>bisher als Werbungskosten geltend gemacht werden</w:t>
      </w:r>
      <w:r w:rsidRPr="002E6104">
        <w:rPr>
          <w:lang w:val="de-DE"/>
        </w:rPr>
        <w:t>. Bei digitalen Arbeitsmitteln erfolgt allerdings eine Gegenrechnung mit dem Homeoffice-Pauschale.</w:t>
      </w:r>
    </w:p>
    <w:p w:rsidR="00BF45A2" w:rsidRDefault="00BF45A2">
      <w:pPr>
        <w:spacing w:after="200" w:line="276" w:lineRule="auto"/>
        <w:rPr>
          <w:rFonts w:cs="Arial"/>
          <w:highlight w:val="yellow"/>
          <w:lang w:val="de-DE"/>
        </w:rPr>
      </w:pPr>
      <w:r>
        <w:rPr>
          <w:rFonts w:cs="Arial"/>
          <w:highlight w:val="yellow"/>
          <w:lang w:val="de-DE"/>
        </w:rPr>
        <w:br w:type="page"/>
      </w:r>
    </w:p>
    <w:tbl>
      <w:tblPr>
        <w:tblW w:w="9356" w:type="dxa"/>
        <w:jc w:val="center"/>
        <w:shd w:val="clear" w:color="auto" w:fill="D9D9D9" w:themeFill="background1" w:themeFillShade="D9"/>
        <w:tblLayout w:type="fixed"/>
        <w:tblLook w:val="0000" w:firstRow="0" w:lastRow="0" w:firstColumn="0" w:lastColumn="0" w:noHBand="0" w:noVBand="0"/>
      </w:tblPr>
      <w:tblGrid>
        <w:gridCol w:w="9356"/>
      </w:tblGrid>
      <w:tr w:rsidR="00B91056" w:rsidRPr="00047CB2" w:rsidTr="005349C1">
        <w:trPr>
          <w:cantSplit/>
          <w:jc w:val="center"/>
        </w:trPr>
        <w:tc>
          <w:tcPr>
            <w:tcW w:w="93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91056" w:rsidRPr="00047CB2" w:rsidRDefault="00B91056" w:rsidP="00B952A7">
            <w:pPr>
              <w:pBdr>
                <w:top w:val="single" w:sz="4" w:space="1" w:color="auto"/>
                <w:left w:val="single" w:sz="4" w:space="4" w:color="auto"/>
                <w:bottom w:val="single" w:sz="4" w:space="1" w:color="auto"/>
                <w:right w:val="single" w:sz="4" w:space="4" w:color="auto"/>
              </w:pBdr>
              <w:spacing w:line="276" w:lineRule="auto"/>
              <w:jc w:val="center"/>
              <w:outlineLvl w:val="0"/>
              <w:rPr>
                <w:rFonts w:cs="Arial"/>
                <w:b/>
                <w:sz w:val="40"/>
                <w:szCs w:val="40"/>
                <w:highlight w:val="yellow"/>
              </w:rPr>
            </w:pPr>
            <w:r w:rsidRPr="00047CB2">
              <w:rPr>
                <w:rFonts w:cs="Arial"/>
                <w:sz w:val="40"/>
                <w:szCs w:val="40"/>
                <w:highlight w:val="yellow"/>
              </w:rPr>
              <w:br w:type="page"/>
            </w:r>
            <w:bookmarkStart w:id="189" w:name="_Toc306629748"/>
            <w:bookmarkStart w:id="190" w:name="_Toc306630542"/>
            <w:bookmarkStart w:id="191" w:name="_Toc306632169"/>
            <w:bookmarkStart w:id="192" w:name="_Toc306693594"/>
            <w:bookmarkStart w:id="193" w:name="_Toc306800345"/>
            <w:bookmarkStart w:id="194" w:name="_Toc116494081"/>
            <w:bookmarkStart w:id="195" w:name="_Toc116923159"/>
            <w:r w:rsidRPr="002E6104">
              <w:rPr>
                <w:rFonts w:cs="Arial"/>
                <w:b/>
                <w:sz w:val="40"/>
                <w:szCs w:val="40"/>
              </w:rPr>
              <w:t>Steuertipps für Arbeitnehme</w:t>
            </w:r>
            <w:bookmarkEnd w:id="189"/>
            <w:bookmarkEnd w:id="190"/>
            <w:bookmarkEnd w:id="191"/>
            <w:r w:rsidRPr="002E6104">
              <w:rPr>
                <w:rFonts w:cs="Arial"/>
                <w:b/>
                <w:sz w:val="40"/>
                <w:szCs w:val="40"/>
              </w:rPr>
              <w:t>r</w:t>
            </w:r>
            <w:bookmarkEnd w:id="192"/>
            <w:bookmarkEnd w:id="193"/>
            <w:bookmarkEnd w:id="194"/>
            <w:bookmarkEnd w:id="195"/>
          </w:p>
        </w:tc>
      </w:tr>
    </w:tbl>
    <w:p w:rsidR="00B91056" w:rsidRPr="002E6104" w:rsidRDefault="00B91056" w:rsidP="00B952A7">
      <w:pPr>
        <w:spacing w:line="276" w:lineRule="auto"/>
        <w:ind w:left="357"/>
        <w:jc w:val="both"/>
        <w:outlineLvl w:val="1"/>
        <w:rPr>
          <w:rFonts w:cs="Arial"/>
          <w:lang w:val="de-DE"/>
        </w:rPr>
      </w:pPr>
    </w:p>
    <w:p w:rsidR="00B91056" w:rsidRPr="007359AA" w:rsidRDefault="00E5792C" w:rsidP="007359AA">
      <w:pPr>
        <w:pStyle w:val="berschrift1"/>
        <w:numPr>
          <w:ilvl w:val="0"/>
          <w:numId w:val="25"/>
        </w:numPr>
        <w:rPr>
          <w:caps/>
          <w:color w:val="E36C0A" w:themeColor="accent6" w:themeShade="BF"/>
          <w:sz w:val="24"/>
          <w:szCs w:val="24"/>
          <w:u w:val="none"/>
        </w:rPr>
      </w:pPr>
      <w:bookmarkStart w:id="196" w:name="_Toc306629749"/>
      <w:bookmarkStart w:id="197" w:name="_Toc306630543"/>
      <w:bookmarkStart w:id="198" w:name="_Toc306632170"/>
      <w:bookmarkStart w:id="199" w:name="_Toc306693595"/>
      <w:bookmarkStart w:id="200" w:name="_Toc116494082"/>
      <w:bookmarkStart w:id="201" w:name="_Toc116923160"/>
      <w:r w:rsidRPr="007359AA">
        <w:rPr>
          <w:rStyle w:val="berschrift1Zchn"/>
          <w:b/>
          <w:bCs/>
          <w:color w:val="E36C0A" w:themeColor="accent6" w:themeShade="BF"/>
          <w:sz w:val="24"/>
          <w:szCs w:val="24"/>
          <w:u w:val="none"/>
        </w:rPr>
        <w:t>RÜCKERSTATTUNG VON KRANKEN-, ARBEITSLOSEN- UND PENSIONS</w:t>
      </w:r>
      <w:r w:rsidRPr="007359AA">
        <w:rPr>
          <w:rStyle w:val="berschrift1Zchn"/>
          <w:b/>
          <w:bCs/>
          <w:color w:val="E36C0A" w:themeColor="accent6" w:themeShade="BF"/>
          <w:sz w:val="24"/>
          <w:szCs w:val="24"/>
          <w:u w:val="none"/>
        </w:rPr>
        <w:softHyphen/>
      </w:r>
      <w:r w:rsidRPr="007359AA">
        <w:rPr>
          <w:color w:val="E36C0A" w:themeColor="accent6" w:themeShade="BF"/>
          <w:sz w:val="24"/>
          <w:szCs w:val="24"/>
          <w:u w:val="none"/>
        </w:rPr>
        <w:t>VERSICHERUNGSBEITRÄGEN 2019 BEI MEHRFACHVERSICHERUNG BIS ENDE 202</w:t>
      </w:r>
      <w:bookmarkEnd w:id="196"/>
      <w:bookmarkEnd w:id="197"/>
      <w:bookmarkEnd w:id="198"/>
      <w:bookmarkEnd w:id="199"/>
      <w:r w:rsidRPr="007359AA">
        <w:rPr>
          <w:color w:val="E36C0A" w:themeColor="accent6" w:themeShade="BF"/>
          <w:sz w:val="24"/>
          <w:szCs w:val="24"/>
          <w:u w:val="none"/>
        </w:rPr>
        <w:t>2</w:t>
      </w:r>
      <w:bookmarkEnd w:id="200"/>
      <w:bookmarkEnd w:id="201"/>
    </w:p>
    <w:p w:rsidR="00D04033" w:rsidRPr="002E6104" w:rsidRDefault="00732130" w:rsidP="00E5792C">
      <w:pPr>
        <w:spacing w:before="240" w:line="276" w:lineRule="auto"/>
        <w:jc w:val="both"/>
        <w:rPr>
          <w:rFonts w:cs="Arial"/>
        </w:rPr>
      </w:pPr>
      <w:r w:rsidRPr="002E6104">
        <w:rPr>
          <w:rFonts w:cs="Arial"/>
        </w:rPr>
        <w:t>Wer im Jahr 201</w:t>
      </w:r>
      <w:r w:rsidR="002E6104" w:rsidRPr="002E6104">
        <w:rPr>
          <w:rFonts w:cs="Arial"/>
        </w:rPr>
        <w:t>9</w:t>
      </w:r>
      <w:r w:rsidRPr="002E6104">
        <w:rPr>
          <w:rFonts w:cs="Arial"/>
        </w:rPr>
        <w:t xml:space="preserve"> aufgrund einer Mehrfachversicherung (zB gleichzeitig zwei oder mehr Dienstverhältnisse oder unselbständige und selbständige Tätigkeiten) über die Höchstbeitrags</w:t>
      </w:r>
      <w:r w:rsidR="00A81F23" w:rsidRPr="002E6104">
        <w:rPr>
          <w:rFonts w:cs="Arial"/>
        </w:rPr>
        <w:softHyphen/>
      </w:r>
      <w:r w:rsidRPr="002E6104">
        <w:rPr>
          <w:rFonts w:cs="Arial"/>
        </w:rPr>
        <w:t>grundlage hinaus Kranken-, Arbeitslosen- und Pensionsversicherungsbeiträge geleistet hat, kann sich diese bis 31.12.20</w:t>
      </w:r>
      <w:r w:rsidR="00BB2252" w:rsidRPr="002E6104">
        <w:rPr>
          <w:rFonts w:cs="Arial"/>
        </w:rPr>
        <w:t>2</w:t>
      </w:r>
      <w:r w:rsidR="002E6104" w:rsidRPr="002E6104">
        <w:rPr>
          <w:rFonts w:cs="Arial"/>
        </w:rPr>
        <w:t>2</w:t>
      </w:r>
      <w:r w:rsidRPr="002E6104">
        <w:rPr>
          <w:rFonts w:cs="Arial"/>
        </w:rPr>
        <w:t xml:space="preserve"> rückerstatten lassen (11,4% Pensionsversicherung, 4% Kranken</w:t>
      </w:r>
      <w:r w:rsidRPr="002E6104">
        <w:rPr>
          <w:rFonts w:cs="Arial"/>
        </w:rPr>
        <w:softHyphen/>
        <w:t xml:space="preserve">versicherung, </w:t>
      </w:r>
      <w:r w:rsidR="00B91056" w:rsidRPr="002E6104">
        <w:rPr>
          <w:rFonts w:cs="Arial"/>
        </w:rPr>
        <w:t>3% Arbeitslosenversicherung). Der Rückerstattungsantrag für die Pensionsversicherungsbeiträge ist an keine Frist gebunden und erfolgt ohne Antrag automatisch bei Pensionsantritt.</w:t>
      </w:r>
    </w:p>
    <w:p w:rsidR="00B91056" w:rsidRPr="002E6104" w:rsidRDefault="00B91056" w:rsidP="00B952A7">
      <w:pPr>
        <w:spacing w:line="276" w:lineRule="auto"/>
        <w:jc w:val="both"/>
        <w:rPr>
          <w:rFonts w:cs="Arial"/>
        </w:rPr>
      </w:pPr>
    </w:p>
    <w:p w:rsidR="00B91056" w:rsidRPr="002E6104" w:rsidRDefault="00EF67AE" w:rsidP="00B364FE">
      <w:pPr>
        <w:shd w:val="clear" w:color="auto" w:fill="C6D9F1" w:themeFill="text2" w:themeFillTint="33"/>
        <w:spacing w:line="276" w:lineRule="auto"/>
        <w:jc w:val="both"/>
        <w:rPr>
          <w:rFonts w:cs="Arial"/>
        </w:rPr>
      </w:pPr>
      <w:r>
        <w:rPr>
          <w:rFonts w:cs="Arial"/>
          <w:b/>
        </w:rPr>
        <w:t>Hinweis</w:t>
      </w:r>
      <w:r w:rsidR="00B91056" w:rsidRPr="002E6104">
        <w:rPr>
          <w:rFonts w:cs="Arial"/>
          <w:b/>
        </w:rPr>
        <w:t>:</w:t>
      </w:r>
      <w:r w:rsidR="00B91056" w:rsidRPr="002E6104">
        <w:rPr>
          <w:rFonts w:cs="Arial"/>
        </w:rPr>
        <w:t xml:space="preserve"> Die Rückerstattung ist </w:t>
      </w:r>
      <w:r w:rsidR="00B91056" w:rsidRPr="002E6104">
        <w:rPr>
          <w:rFonts w:cs="Arial"/>
          <w:b/>
        </w:rPr>
        <w:t>einkommen</w:t>
      </w:r>
      <w:r w:rsidR="00B91056" w:rsidRPr="002E6104">
        <w:rPr>
          <w:rFonts w:cs="Arial"/>
          <w:b/>
          <w:bCs/>
        </w:rPr>
        <w:t>steuerpflichtig</w:t>
      </w:r>
      <w:r>
        <w:rPr>
          <w:rFonts w:cs="Arial"/>
          <w:b/>
          <w:bCs/>
        </w:rPr>
        <w:t>.</w:t>
      </w:r>
    </w:p>
    <w:p w:rsidR="00B91056" w:rsidRPr="00047CB2" w:rsidRDefault="00B91056" w:rsidP="005349C1">
      <w:pPr>
        <w:spacing w:line="276" w:lineRule="auto"/>
        <w:ind w:left="357" w:hanging="357"/>
        <w:jc w:val="both"/>
        <w:outlineLvl w:val="1"/>
        <w:rPr>
          <w:rFonts w:cs="Arial"/>
          <w:highlight w:val="yellow"/>
        </w:rPr>
      </w:pPr>
    </w:p>
    <w:p w:rsidR="00B91056" w:rsidRPr="007359AA" w:rsidRDefault="00E5792C" w:rsidP="007359AA">
      <w:pPr>
        <w:pStyle w:val="berschrift1"/>
        <w:numPr>
          <w:ilvl w:val="0"/>
          <w:numId w:val="25"/>
        </w:numPr>
        <w:rPr>
          <w:rStyle w:val="berschrift1Zchn"/>
          <w:b/>
          <w:bCs/>
          <w:color w:val="E36C0A" w:themeColor="accent6" w:themeShade="BF"/>
          <w:sz w:val="24"/>
          <w:szCs w:val="24"/>
          <w:u w:val="none"/>
        </w:rPr>
      </w:pPr>
      <w:bookmarkStart w:id="202" w:name="_Toc306629752"/>
      <w:bookmarkStart w:id="203" w:name="_Toc306630546"/>
      <w:bookmarkStart w:id="204" w:name="_Toc306632173"/>
      <w:bookmarkStart w:id="205" w:name="_Toc306693598"/>
      <w:bookmarkStart w:id="206" w:name="_Toc116494083"/>
      <w:bookmarkStart w:id="207" w:name="_Toc116923161"/>
      <w:r w:rsidRPr="007359AA">
        <w:rPr>
          <w:rStyle w:val="berschrift1Zchn"/>
          <w:b/>
          <w:bCs/>
          <w:color w:val="E36C0A" w:themeColor="accent6" w:themeShade="BF"/>
          <w:sz w:val="24"/>
          <w:szCs w:val="24"/>
          <w:u w:val="none"/>
        </w:rPr>
        <w:t>WERBUNGSKOSTEN NOCH VOR DEM 31.12.2022 BEZAHLEN</w:t>
      </w:r>
      <w:bookmarkEnd w:id="202"/>
      <w:bookmarkEnd w:id="203"/>
      <w:bookmarkEnd w:id="204"/>
      <w:bookmarkEnd w:id="205"/>
      <w:bookmarkEnd w:id="206"/>
      <w:bookmarkEnd w:id="207"/>
    </w:p>
    <w:p w:rsidR="00B91056" w:rsidRPr="002E6104" w:rsidRDefault="00B91056" w:rsidP="00E5792C">
      <w:pPr>
        <w:spacing w:before="240" w:line="276" w:lineRule="auto"/>
        <w:jc w:val="both"/>
        <w:rPr>
          <w:rFonts w:cs="Arial"/>
        </w:rPr>
      </w:pPr>
      <w:bookmarkStart w:id="208" w:name="_Toc306629753"/>
      <w:bookmarkStart w:id="209" w:name="_Toc306630547"/>
      <w:bookmarkStart w:id="210" w:name="_Toc306632174"/>
      <w:bookmarkStart w:id="211" w:name="_Toc306693599"/>
      <w:r w:rsidRPr="002E6104">
        <w:rPr>
          <w:rFonts w:cs="Arial"/>
          <w:b/>
        </w:rPr>
        <w:t>Werbungskosten</w:t>
      </w:r>
      <w:r w:rsidRPr="002E6104">
        <w:rPr>
          <w:rFonts w:cs="Arial"/>
        </w:rPr>
        <w:t xml:space="preserve"> müssen bis zum 31.12.20</w:t>
      </w:r>
      <w:r w:rsidR="00BB2252" w:rsidRPr="002E6104">
        <w:rPr>
          <w:rFonts w:cs="Arial"/>
        </w:rPr>
        <w:t>2</w:t>
      </w:r>
      <w:r w:rsidR="002E6104" w:rsidRPr="002E6104">
        <w:rPr>
          <w:rFonts w:cs="Arial"/>
        </w:rPr>
        <w:t>2</w:t>
      </w:r>
      <w:r w:rsidRPr="002E6104">
        <w:rPr>
          <w:rFonts w:cs="Arial"/>
        </w:rPr>
        <w:t xml:space="preserve"> bezahlt werden, damit sie heuer noch von der Steuer abgesetzt werden können. Denken Sie dabei insbesondere an </w:t>
      </w:r>
      <w:r w:rsidRPr="002E6104">
        <w:rPr>
          <w:rFonts w:cs="Arial"/>
          <w:b/>
        </w:rPr>
        <w:t>Fortbildungskosten</w:t>
      </w:r>
      <w:r w:rsidRPr="002E6104">
        <w:rPr>
          <w:rFonts w:cs="Arial"/>
        </w:rPr>
        <w:t xml:space="preserve"> (Seminare, Kurse, Schulungen</w:t>
      </w:r>
      <w:r w:rsidR="00A02B05" w:rsidRPr="002E6104">
        <w:rPr>
          <w:rFonts w:cs="Arial"/>
        </w:rPr>
        <w:t>,</w:t>
      </w:r>
      <w:r w:rsidRPr="002E6104">
        <w:rPr>
          <w:rFonts w:cs="Arial"/>
        </w:rPr>
        <w:t xml:space="preserve"> etc</w:t>
      </w:r>
      <w:r w:rsidR="00A02B05" w:rsidRPr="002E6104">
        <w:rPr>
          <w:rFonts w:cs="Arial"/>
        </w:rPr>
        <w:t>,</w:t>
      </w:r>
      <w:r w:rsidRPr="002E6104">
        <w:rPr>
          <w:rFonts w:cs="Arial"/>
        </w:rPr>
        <w:t xml:space="preserve"> samt allen damit verbundenen Nebenkoste</w:t>
      </w:r>
      <w:r w:rsidR="009B5B5F" w:rsidRPr="002E6104">
        <w:rPr>
          <w:rFonts w:cs="Arial"/>
        </w:rPr>
        <w:t>n</w:t>
      </w:r>
      <w:r w:rsidRPr="002E6104">
        <w:rPr>
          <w:rFonts w:cs="Arial"/>
        </w:rPr>
        <w:t xml:space="preserve"> wie Reisekosten und Verpflegungsmehraufwand), </w:t>
      </w:r>
      <w:r w:rsidRPr="002E6104">
        <w:rPr>
          <w:rFonts w:cs="Arial"/>
          <w:b/>
        </w:rPr>
        <w:t>Familienheimfahrten</w:t>
      </w:r>
      <w:r w:rsidRPr="002E6104">
        <w:rPr>
          <w:rFonts w:cs="Arial"/>
        </w:rPr>
        <w:t xml:space="preserve">, Kosten für eine </w:t>
      </w:r>
      <w:r w:rsidRPr="002E6104">
        <w:rPr>
          <w:rFonts w:cs="Arial"/>
          <w:b/>
        </w:rPr>
        <w:t>doppelte Haushaltsführung</w:t>
      </w:r>
      <w:r w:rsidRPr="002E6104">
        <w:rPr>
          <w:rFonts w:cs="Arial"/>
        </w:rPr>
        <w:t xml:space="preserve">, </w:t>
      </w:r>
      <w:r w:rsidRPr="002E6104">
        <w:rPr>
          <w:rFonts w:cs="Arial"/>
          <w:b/>
        </w:rPr>
        <w:t>Telefonspesen</w:t>
      </w:r>
      <w:r w:rsidRPr="002E6104">
        <w:rPr>
          <w:rFonts w:cs="Arial"/>
        </w:rPr>
        <w:t xml:space="preserve">, </w:t>
      </w:r>
      <w:r w:rsidRPr="002E6104">
        <w:rPr>
          <w:rFonts w:cs="Arial"/>
          <w:b/>
        </w:rPr>
        <w:t>Fachliteratur</w:t>
      </w:r>
      <w:r w:rsidRPr="002E6104">
        <w:rPr>
          <w:rFonts w:cs="Arial"/>
        </w:rPr>
        <w:t xml:space="preserve">, beruflich veranlasste </w:t>
      </w:r>
      <w:r w:rsidRPr="002E6104">
        <w:rPr>
          <w:rFonts w:cs="Arial"/>
          <w:b/>
        </w:rPr>
        <w:t>Mitgliedsbeiträge</w:t>
      </w:r>
      <w:r w:rsidRPr="002E6104">
        <w:rPr>
          <w:rFonts w:cs="Arial"/>
        </w:rPr>
        <w:t xml:space="preserve"> etc. Auch heuer geleistete </w:t>
      </w:r>
      <w:r w:rsidRPr="002E6104">
        <w:rPr>
          <w:rFonts w:cs="Arial"/>
          <w:b/>
        </w:rPr>
        <w:t>Vorauszahlungen</w:t>
      </w:r>
      <w:r w:rsidRPr="002E6104">
        <w:rPr>
          <w:rFonts w:cs="Arial"/>
        </w:rPr>
        <w:t xml:space="preserve"> für derartige Kosten können noch heuer abgesetzt werden. Auch </w:t>
      </w:r>
      <w:r w:rsidRPr="002E6104">
        <w:rPr>
          <w:rFonts w:cs="Arial"/>
          <w:b/>
        </w:rPr>
        <w:t>Ausbildungskosten</w:t>
      </w:r>
      <w:r w:rsidRPr="002E6104">
        <w:rPr>
          <w:rFonts w:cs="Arial"/>
        </w:rPr>
        <w:t>, wenn sie mit der beruflichen oder einer verwandten Tätigkeit in Zusammenhang stehen</w:t>
      </w:r>
      <w:r w:rsidR="00C60BFA">
        <w:rPr>
          <w:rFonts w:cs="Arial"/>
        </w:rPr>
        <w:t>,</w:t>
      </w:r>
      <w:r w:rsidRPr="002E6104">
        <w:rPr>
          <w:rFonts w:cs="Arial"/>
        </w:rPr>
        <w:t xml:space="preserve"> und </w:t>
      </w:r>
      <w:r w:rsidRPr="002E6104">
        <w:rPr>
          <w:rFonts w:cs="Arial"/>
          <w:b/>
        </w:rPr>
        <w:t>Kosten der Umschulung</w:t>
      </w:r>
      <w:r w:rsidRPr="002E6104">
        <w:rPr>
          <w:rFonts w:cs="Arial"/>
        </w:rPr>
        <w:t xml:space="preserve"> können als Werbungskosten geltend gemacht werden.</w:t>
      </w:r>
      <w:bookmarkEnd w:id="208"/>
      <w:bookmarkEnd w:id="209"/>
      <w:bookmarkEnd w:id="210"/>
      <w:bookmarkEnd w:id="211"/>
    </w:p>
    <w:p w:rsidR="009A4E24" w:rsidRPr="002E6104" w:rsidRDefault="009A4E24" w:rsidP="00B952A7">
      <w:pPr>
        <w:spacing w:line="276" w:lineRule="auto"/>
        <w:jc w:val="both"/>
        <w:rPr>
          <w:rFonts w:cs="Arial"/>
        </w:rPr>
      </w:pPr>
    </w:p>
    <w:p w:rsidR="00046E13" w:rsidRPr="005349C1" w:rsidRDefault="00046E13" w:rsidP="00522714">
      <w:pPr>
        <w:shd w:val="clear" w:color="auto" w:fill="FBD4B4" w:themeFill="accent6" w:themeFillTint="66"/>
        <w:spacing w:line="276" w:lineRule="auto"/>
        <w:jc w:val="both"/>
        <w:rPr>
          <w:rFonts w:cs="Arial"/>
          <w:b/>
        </w:rPr>
      </w:pPr>
      <w:r w:rsidRPr="002E6104">
        <w:rPr>
          <w:rFonts w:cs="Arial"/>
          <w:b/>
        </w:rPr>
        <w:t>TIPP:</w:t>
      </w:r>
      <w:r w:rsidRPr="002E6104">
        <w:rPr>
          <w:rFonts w:cs="Arial"/>
        </w:rPr>
        <w:t xml:space="preserve"> Auch Aufwendungen für Arbeitsmittel können als Werbungskosten abgesetzt werden, wobei auch hier die Grenze für geringwertige Wirtschaftsgüter gilt. Wenn Sie sich daher privat einen Computer anschaffen, den Sie für berufliche Zwecke benötigen, kann er im Jahr 20</w:t>
      </w:r>
      <w:r w:rsidR="00BB2252" w:rsidRPr="002E6104">
        <w:rPr>
          <w:rFonts w:cs="Arial"/>
        </w:rPr>
        <w:t>2</w:t>
      </w:r>
      <w:r w:rsidR="002E6104" w:rsidRPr="002E6104">
        <w:rPr>
          <w:rFonts w:cs="Arial"/>
        </w:rPr>
        <w:t>2</w:t>
      </w:r>
      <w:r w:rsidRPr="002E6104">
        <w:rPr>
          <w:rFonts w:cs="Arial"/>
        </w:rPr>
        <w:t xml:space="preserve"> –</w:t>
      </w:r>
      <w:r w:rsidR="00EF67AE">
        <w:rPr>
          <w:rFonts w:cs="Arial"/>
        </w:rPr>
        <w:t>in</w:t>
      </w:r>
      <w:r w:rsidRPr="002E6104">
        <w:rPr>
          <w:rFonts w:cs="Arial"/>
        </w:rPr>
        <w:t>soweit die An</w:t>
      </w:r>
      <w:r w:rsidR="002903A7" w:rsidRPr="002E6104">
        <w:rPr>
          <w:rFonts w:cs="Arial"/>
        </w:rPr>
        <w:softHyphen/>
      </w:r>
      <w:r w:rsidRPr="002E6104">
        <w:rPr>
          <w:rFonts w:cs="Arial"/>
        </w:rPr>
        <w:t xml:space="preserve">schaffungskosten € </w:t>
      </w:r>
      <w:r w:rsidR="00BB2252" w:rsidRPr="002E6104">
        <w:rPr>
          <w:rFonts w:cs="Arial"/>
        </w:rPr>
        <w:t>8</w:t>
      </w:r>
      <w:r w:rsidRPr="002E6104">
        <w:rPr>
          <w:rFonts w:cs="Arial"/>
        </w:rPr>
        <w:t>00 nicht übersteigen – sofort abgeschrieben werden.</w:t>
      </w:r>
      <w:r w:rsidR="0094144E" w:rsidRPr="002E6104">
        <w:rPr>
          <w:rFonts w:cs="Arial"/>
        </w:rPr>
        <w:t xml:space="preserve"> </w:t>
      </w:r>
      <w:r w:rsidR="00AE43DC" w:rsidRPr="002E6104">
        <w:rPr>
          <w:rFonts w:cs="Arial"/>
        </w:rPr>
        <w:t>Denken Sie daran</w:t>
      </w:r>
      <w:r w:rsidR="008C2B60" w:rsidRPr="002E6104">
        <w:rPr>
          <w:rFonts w:cs="Arial"/>
        </w:rPr>
        <w:t xml:space="preserve">, dass die Finanzverwaltung davon ausgeht, dass dieser </w:t>
      </w:r>
      <w:r w:rsidR="008C2B60" w:rsidRPr="002E6104">
        <w:rPr>
          <w:rFonts w:cs="Arial"/>
          <w:b/>
        </w:rPr>
        <w:t>Computer</w:t>
      </w:r>
      <w:r w:rsidR="008C2B60" w:rsidRPr="002E6104">
        <w:rPr>
          <w:rFonts w:cs="Arial"/>
        </w:rPr>
        <w:t xml:space="preserve"> auch privat genutzt werden kann</w:t>
      </w:r>
      <w:r w:rsidR="00C60BFA">
        <w:rPr>
          <w:rFonts w:cs="Arial"/>
        </w:rPr>
        <w:t>,</w:t>
      </w:r>
      <w:r w:rsidR="008C2B60" w:rsidRPr="002E6104">
        <w:rPr>
          <w:rFonts w:cs="Arial"/>
        </w:rPr>
        <w:t xml:space="preserve"> und</w:t>
      </w:r>
      <w:r w:rsidR="00C60BFA">
        <w:rPr>
          <w:rFonts w:cs="Arial"/>
        </w:rPr>
        <w:t xml:space="preserve"> daher</w:t>
      </w:r>
      <w:r w:rsidR="008C2B60" w:rsidRPr="002E6104">
        <w:rPr>
          <w:rFonts w:cs="Arial"/>
        </w:rPr>
        <w:t xml:space="preserve"> </w:t>
      </w:r>
      <w:r w:rsidR="008C2B60" w:rsidRPr="002E6104">
        <w:rPr>
          <w:rFonts w:cs="Arial"/>
          <w:b/>
        </w:rPr>
        <w:t xml:space="preserve">ohne </w:t>
      </w:r>
      <w:r w:rsidR="008C2B60" w:rsidRPr="005349C1">
        <w:rPr>
          <w:rFonts w:cs="Arial"/>
          <w:b/>
        </w:rPr>
        <w:t>Nachweis ein Privatanteil von 40% auszuscheiden ist.</w:t>
      </w:r>
    </w:p>
    <w:p w:rsidR="006E7F4B" w:rsidRPr="005349C1" w:rsidRDefault="006E7F4B" w:rsidP="00B952A7">
      <w:pPr>
        <w:spacing w:line="276" w:lineRule="auto"/>
        <w:jc w:val="both"/>
        <w:rPr>
          <w:rFonts w:cs="Arial"/>
          <w:b/>
          <w:highlight w:val="yellow"/>
        </w:rPr>
      </w:pPr>
    </w:p>
    <w:p w:rsidR="00B91056" w:rsidRPr="005349C1" w:rsidRDefault="005349C1" w:rsidP="007359AA">
      <w:pPr>
        <w:pStyle w:val="berschrift1"/>
        <w:numPr>
          <w:ilvl w:val="0"/>
          <w:numId w:val="25"/>
        </w:numPr>
        <w:ind w:left="284" w:hanging="284"/>
        <w:rPr>
          <w:color w:val="E36C0A" w:themeColor="accent6" w:themeShade="BF"/>
          <w:sz w:val="24"/>
          <w:szCs w:val="24"/>
          <w:u w:val="none"/>
        </w:rPr>
      </w:pPr>
      <w:bookmarkStart w:id="212" w:name="_Toc306629754"/>
      <w:bookmarkStart w:id="213" w:name="_Toc306630548"/>
      <w:bookmarkStart w:id="214" w:name="_Toc306632175"/>
      <w:bookmarkStart w:id="215" w:name="_Toc306693600"/>
      <w:bookmarkStart w:id="216" w:name="_Toc116494084"/>
      <w:bookmarkStart w:id="217" w:name="_Toc116923162"/>
      <w:r w:rsidRPr="005349C1">
        <w:rPr>
          <w:rStyle w:val="berschrift1Zchn"/>
          <w:b/>
          <w:bCs/>
          <w:color w:val="E36C0A" w:themeColor="accent6" w:themeShade="BF"/>
          <w:sz w:val="24"/>
          <w:szCs w:val="24"/>
          <w:u w:val="none"/>
        </w:rPr>
        <w:t>ARBEITNEHMERVERANLAGUNG 2017 SOWIE RÜCKZAHLUNG VON ZU</w:t>
      </w:r>
      <w:r w:rsidRPr="005349C1">
        <w:rPr>
          <w:rStyle w:val="berschrift1Zchn"/>
          <w:b/>
          <w:bCs/>
          <w:sz w:val="24"/>
          <w:szCs w:val="24"/>
          <w:u w:val="none"/>
        </w:rPr>
        <w:t xml:space="preserve"> </w:t>
      </w:r>
      <w:r w:rsidRPr="005349C1">
        <w:rPr>
          <w:rStyle w:val="berschrift1Zchn"/>
          <w:b/>
          <w:bCs/>
          <w:color w:val="E36C0A" w:themeColor="accent6" w:themeShade="BF"/>
          <w:sz w:val="24"/>
          <w:szCs w:val="24"/>
          <w:u w:val="none"/>
        </w:rPr>
        <w:t>UN</w:t>
      </w:r>
      <w:r w:rsidRPr="005349C1">
        <w:rPr>
          <w:color w:val="E36C0A" w:themeColor="accent6" w:themeShade="BF"/>
          <w:sz w:val="24"/>
          <w:szCs w:val="24"/>
          <w:u w:val="none"/>
        </w:rPr>
        <w:t>RECHT EINBEHALTENER LOHNSTEUER</w:t>
      </w:r>
      <w:r w:rsidRPr="005349C1">
        <w:rPr>
          <w:color w:val="E36C0A" w:themeColor="accent6" w:themeShade="BF"/>
        </w:rPr>
        <w:t xml:space="preserve"> </w:t>
      </w:r>
      <w:r w:rsidRPr="005349C1">
        <w:rPr>
          <w:color w:val="E36C0A" w:themeColor="accent6" w:themeShade="BF"/>
          <w:sz w:val="24"/>
          <w:szCs w:val="24"/>
          <w:u w:val="none"/>
        </w:rPr>
        <w:t>DES JAHRES 2017 BEANTRAGEN</w:t>
      </w:r>
      <w:bookmarkEnd w:id="212"/>
      <w:bookmarkEnd w:id="213"/>
      <w:bookmarkEnd w:id="214"/>
      <w:bookmarkEnd w:id="215"/>
      <w:bookmarkEnd w:id="216"/>
      <w:bookmarkEnd w:id="217"/>
    </w:p>
    <w:p w:rsidR="00B91056" w:rsidRPr="002E6104" w:rsidRDefault="00B91056" w:rsidP="00B952A7">
      <w:pPr>
        <w:tabs>
          <w:tab w:val="left" w:pos="567"/>
        </w:tabs>
        <w:spacing w:line="276" w:lineRule="auto"/>
        <w:jc w:val="both"/>
        <w:rPr>
          <w:rFonts w:cs="Arial"/>
        </w:rPr>
      </w:pPr>
      <w:bookmarkStart w:id="218" w:name="_Toc306629755"/>
      <w:bookmarkStart w:id="219" w:name="_Toc306630549"/>
      <w:bookmarkStart w:id="220" w:name="_Toc306632176"/>
      <w:bookmarkStart w:id="221" w:name="_Toc306693601"/>
      <w:r w:rsidRPr="002E6104">
        <w:rPr>
          <w:rFonts w:cs="Arial"/>
        </w:rPr>
        <w:t xml:space="preserve">Wer zwecks Geltendmachung von Steuervorteilen, wie </w:t>
      </w:r>
    </w:p>
    <w:p w:rsidR="00B91056" w:rsidRPr="002E6104" w:rsidRDefault="00B91056" w:rsidP="005349C1">
      <w:pPr>
        <w:numPr>
          <w:ilvl w:val="0"/>
          <w:numId w:val="3"/>
        </w:numPr>
        <w:tabs>
          <w:tab w:val="left" w:pos="567"/>
        </w:tabs>
        <w:spacing w:line="276" w:lineRule="auto"/>
        <w:ind w:left="709" w:hanging="425"/>
        <w:jc w:val="both"/>
        <w:rPr>
          <w:rFonts w:cs="Arial"/>
        </w:rPr>
      </w:pPr>
      <w:r w:rsidRPr="002E6104">
        <w:rPr>
          <w:rFonts w:cs="Arial"/>
        </w:rPr>
        <w:t xml:space="preserve">Steuerrefundierung bei schwankenden Bezügen (Jahresausgleichseffekt); </w:t>
      </w:r>
    </w:p>
    <w:p w:rsidR="00B91056" w:rsidRPr="002E6104" w:rsidRDefault="00B91056" w:rsidP="005349C1">
      <w:pPr>
        <w:numPr>
          <w:ilvl w:val="0"/>
          <w:numId w:val="3"/>
        </w:numPr>
        <w:tabs>
          <w:tab w:val="clear" w:pos="1572"/>
          <w:tab w:val="num" w:pos="143"/>
          <w:tab w:val="left" w:pos="567"/>
        </w:tabs>
        <w:spacing w:line="276" w:lineRule="auto"/>
        <w:ind w:left="567" w:hanging="283"/>
        <w:jc w:val="both"/>
        <w:rPr>
          <w:rFonts w:cs="Arial"/>
        </w:rPr>
      </w:pPr>
      <w:r w:rsidRPr="002E6104">
        <w:rPr>
          <w:rFonts w:cs="Arial"/>
        </w:rPr>
        <w:t>Geltendmachung von Werbungskosten, Pendlerpauschale und Pendlereuro, Sonderausgaben, außergewöhnlichen Belastungen;</w:t>
      </w:r>
    </w:p>
    <w:p w:rsidR="00B91056" w:rsidRPr="002E6104" w:rsidRDefault="00B91056" w:rsidP="005349C1">
      <w:pPr>
        <w:numPr>
          <w:ilvl w:val="0"/>
          <w:numId w:val="3"/>
        </w:numPr>
        <w:tabs>
          <w:tab w:val="left" w:pos="567"/>
        </w:tabs>
        <w:spacing w:line="276" w:lineRule="auto"/>
        <w:ind w:left="709" w:hanging="425"/>
        <w:jc w:val="both"/>
        <w:rPr>
          <w:rFonts w:cs="Arial"/>
        </w:rPr>
      </w:pPr>
      <w:r w:rsidRPr="002E6104">
        <w:rPr>
          <w:rFonts w:cs="Arial"/>
        </w:rPr>
        <w:t xml:space="preserve">Verlusten aus anderen Einkünften, zB Vermietungseinkünften; </w:t>
      </w:r>
    </w:p>
    <w:p w:rsidR="00B91056" w:rsidRPr="002E6104" w:rsidRDefault="00BD5DB1" w:rsidP="005349C1">
      <w:pPr>
        <w:numPr>
          <w:ilvl w:val="0"/>
          <w:numId w:val="3"/>
        </w:numPr>
        <w:tabs>
          <w:tab w:val="left" w:pos="567"/>
        </w:tabs>
        <w:spacing w:line="276" w:lineRule="auto"/>
        <w:ind w:left="709" w:hanging="425"/>
        <w:jc w:val="both"/>
        <w:rPr>
          <w:rFonts w:cs="Arial"/>
        </w:rPr>
      </w:pPr>
      <w:r w:rsidRPr="002E6104">
        <w:rPr>
          <w:rFonts w:cs="Arial"/>
        </w:rPr>
        <w:t>Geltendmachung </w:t>
      </w:r>
      <w:r w:rsidR="00B91056" w:rsidRPr="002E6104">
        <w:rPr>
          <w:rFonts w:cs="Arial"/>
        </w:rPr>
        <w:t>von Alleinverdiener-</w:t>
      </w:r>
      <w:r w:rsidRPr="002E6104">
        <w:rPr>
          <w:rFonts w:cs="Arial"/>
        </w:rPr>
        <w:t xml:space="preserve"> bzw Alleinerzieherabsetzbetrag </w:t>
      </w:r>
      <w:r w:rsidR="00B91056" w:rsidRPr="002E6104">
        <w:rPr>
          <w:rFonts w:cs="Arial"/>
        </w:rPr>
        <w:t>bzw des Kinderzuschlags;</w:t>
      </w:r>
    </w:p>
    <w:p w:rsidR="00B91056" w:rsidRPr="002E6104" w:rsidRDefault="00B91056" w:rsidP="005349C1">
      <w:pPr>
        <w:numPr>
          <w:ilvl w:val="0"/>
          <w:numId w:val="3"/>
        </w:numPr>
        <w:tabs>
          <w:tab w:val="left" w:pos="567"/>
        </w:tabs>
        <w:spacing w:line="276" w:lineRule="auto"/>
        <w:ind w:left="709" w:hanging="425"/>
        <w:jc w:val="both"/>
        <w:rPr>
          <w:rFonts w:cs="Arial"/>
        </w:rPr>
      </w:pPr>
      <w:r w:rsidRPr="002E6104">
        <w:rPr>
          <w:rFonts w:cs="Arial"/>
        </w:rPr>
        <w:t>Geltendmachung des Unterhaltsabsetzbetrags;</w:t>
      </w:r>
    </w:p>
    <w:p w:rsidR="00B91056" w:rsidRPr="002E6104" w:rsidRDefault="00B91056" w:rsidP="005349C1">
      <w:pPr>
        <w:numPr>
          <w:ilvl w:val="0"/>
          <w:numId w:val="3"/>
        </w:numPr>
        <w:tabs>
          <w:tab w:val="left" w:pos="567"/>
        </w:tabs>
        <w:spacing w:line="276" w:lineRule="auto"/>
        <w:ind w:left="709" w:hanging="425"/>
        <w:jc w:val="both"/>
        <w:rPr>
          <w:rFonts w:cs="Arial"/>
        </w:rPr>
      </w:pPr>
      <w:r w:rsidRPr="002E6104">
        <w:rPr>
          <w:rFonts w:cs="Arial"/>
        </w:rPr>
        <w:t xml:space="preserve">Gutschrift von Negativsteuern </w:t>
      </w:r>
    </w:p>
    <w:p w:rsidR="00B91056" w:rsidRPr="002E6104" w:rsidRDefault="00B91056" w:rsidP="00B952A7">
      <w:pPr>
        <w:tabs>
          <w:tab w:val="left" w:pos="567"/>
        </w:tabs>
        <w:spacing w:line="276" w:lineRule="auto"/>
        <w:jc w:val="both"/>
        <w:rPr>
          <w:rFonts w:cs="Arial"/>
        </w:rPr>
      </w:pPr>
      <w:r w:rsidRPr="002E6104">
        <w:rPr>
          <w:rFonts w:cs="Arial"/>
        </w:rPr>
        <w:t xml:space="preserve">eine </w:t>
      </w:r>
      <w:r w:rsidRPr="002E6104">
        <w:rPr>
          <w:rFonts w:cs="Arial"/>
          <w:b/>
        </w:rPr>
        <w:t>Arbeitnehmerveranlagung</w:t>
      </w:r>
      <w:r w:rsidRPr="002E6104">
        <w:rPr>
          <w:rFonts w:cs="Arial"/>
        </w:rPr>
        <w:t xml:space="preserve"> beantragen will, hat dafür </w:t>
      </w:r>
      <w:r w:rsidR="008139ED" w:rsidRPr="002E6104">
        <w:rPr>
          <w:rFonts w:cs="Arial"/>
          <w:b/>
        </w:rPr>
        <w:t>5</w:t>
      </w:r>
      <w:r w:rsidRPr="002E6104">
        <w:rPr>
          <w:rFonts w:cs="Arial"/>
          <w:b/>
        </w:rPr>
        <w:t xml:space="preserve"> Jahre</w:t>
      </w:r>
      <w:r w:rsidRPr="002E6104">
        <w:rPr>
          <w:rFonts w:cs="Arial"/>
        </w:rPr>
        <w:t xml:space="preserve"> Zeit. </w:t>
      </w:r>
    </w:p>
    <w:p w:rsidR="00B91056" w:rsidRPr="002E6104" w:rsidRDefault="00B91056" w:rsidP="00B952A7">
      <w:pPr>
        <w:spacing w:line="276" w:lineRule="auto"/>
        <w:jc w:val="both"/>
        <w:rPr>
          <w:rFonts w:cs="Arial"/>
        </w:rPr>
      </w:pPr>
    </w:p>
    <w:p w:rsidR="00585463" w:rsidRPr="002E6104" w:rsidRDefault="00F05EF1" w:rsidP="00EE6239">
      <w:pPr>
        <w:shd w:val="clear" w:color="auto" w:fill="FABF8F" w:themeFill="accent6" w:themeFillTint="99"/>
      </w:pPr>
      <w:r w:rsidRPr="002E6104">
        <w:t>TIPP: Am 31.12.20</w:t>
      </w:r>
      <w:r w:rsidR="00BB2252" w:rsidRPr="002E6104">
        <w:t>2</w:t>
      </w:r>
      <w:r w:rsidR="002E6104">
        <w:t>2</w:t>
      </w:r>
      <w:r w:rsidRPr="002E6104">
        <w:t xml:space="preserve"> endet daher die Frist für den Antrag auf Arbeitnehmerveranlagung 201</w:t>
      </w:r>
      <w:r w:rsidR="002E6104">
        <w:t>7</w:t>
      </w:r>
      <w:r w:rsidR="00BB2252" w:rsidRPr="002E6104">
        <w:t>.</w:t>
      </w:r>
    </w:p>
    <w:p w:rsidR="00B91056" w:rsidRPr="002E6104" w:rsidRDefault="00B91056" w:rsidP="00B952A7">
      <w:pPr>
        <w:spacing w:line="276" w:lineRule="auto"/>
        <w:jc w:val="both"/>
        <w:rPr>
          <w:rFonts w:cs="Arial"/>
        </w:rPr>
      </w:pPr>
      <w:bookmarkStart w:id="222" w:name="_Toc306629756"/>
      <w:bookmarkStart w:id="223" w:name="_Toc306630550"/>
      <w:bookmarkStart w:id="224" w:name="_Toc306632177"/>
      <w:bookmarkStart w:id="225" w:name="_Toc306693602"/>
      <w:bookmarkEnd w:id="218"/>
      <w:bookmarkEnd w:id="219"/>
      <w:bookmarkEnd w:id="220"/>
      <w:bookmarkEnd w:id="221"/>
    </w:p>
    <w:p w:rsidR="00B91056" w:rsidRPr="002E6104" w:rsidRDefault="00B91056" w:rsidP="00B952A7">
      <w:pPr>
        <w:spacing w:line="276" w:lineRule="auto"/>
        <w:jc w:val="both"/>
        <w:rPr>
          <w:rFonts w:cs="Arial"/>
        </w:rPr>
      </w:pPr>
      <w:r w:rsidRPr="002E6104">
        <w:rPr>
          <w:rFonts w:cs="Arial"/>
        </w:rPr>
        <w:t>Hat ein Dienstgeber im Jahr 201</w:t>
      </w:r>
      <w:r w:rsidR="002E6104">
        <w:rPr>
          <w:rFonts w:cs="Arial"/>
        </w:rPr>
        <w:t>7</w:t>
      </w:r>
      <w:r w:rsidRPr="002E6104">
        <w:rPr>
          <w:rFonts w:cs="Arial"/>
        </w:rPr>
        <w:t xml:space="preserve"> von den Gehaltsbezügen eines Arbeitnehmers </w:t>
      </w:r>
      <w:r w:rsidRPr="002E6104">
        <w:rPr>
          <w:rFonts w:cs="Arial"/>
          <w:b/>
        </w:rPr>
        <w:t>zu Unrecht Lohnsteuer einbehalten</w:t>
      </w:r>
      <w:r w:rsidRPr="002E6104">
        <w:rPr>
          <w:rFonts w:cs="Arial"/>
        </w:rPr>
        <w:t>, kann dieser bis spätestens 31.12.20</w:t>
      </w:r>
      <w:r w:rsidR="00BB2252" w:rsidRPr="002E6104">
        <w:rPr>
          <w:rFonts w:cs="Arial"/>
        </w:rPr>
        <w:t>2</w:t>
      </w:r>
      <w:r w:rsidR="002E6104">
        <w:rPr>
          <w:rFonts w:cs="Arial"/>
        </w:rPr>
        <w:t>2</w:t>
      </w:r>
      <w:r w:rsidRPr="002E6104">
        <w:rPr>
          <w:rFonts w:cs="Arial"/>
        </w:rPr>
        <w:t xml:space="preserve"> beim Finanzamt einen </w:t>
      </w:r>
      <w:r w:rsidRPr="002E6104">
        <w:rPr>
          <w:rFonts w:cs="Arial"/>
          <w:b/>
        </w:rPr>
        <w:t>Rückzahlungsan</w:t>
      </w:r>
      <w:r w:rsidR="00F05EF1" w:rsidRPr="002E6104">
        <w:rPr>
          <w:rFonts w:cs="Arial"/>
          <w:b/>
        </w:rPr>
        <w:softHyphen/>
      </w:r>
      <w:r w:rsidRPr="002E6104">
        <w:rPr>
          <w:rFonts w:cs="Arial"/>
          <w:b/>
        </w:rPr>
        <w:t>trag</w:t>
      </w:r>
      <w:r w:rsidRPr="002E6104">
        <w:rPr>
          <w:rFonts w:cs="Arial"/>
        </w:rPr>
        <w:t xml:space="preserve"> stellen.</w:t>
      </w:r>
      <w:bookmarkEnd w:id="222"/>
      <w:bookmarkEnd w:id="223"/>
      <w:bookmarkEnd w:id="224"/>
      <w:bookmarkEnd w:id="225"/>
    </w:p>
    <w:p w:rsidR="00F700E4" w:rsidRPr="00047CB2" w:rsidRDefault="00F700E4">
      <w:pPr>
        <w:spacing w:after="200" w:line="276" w:lineRule="auto"/>
        <w:rPr>
          <w:rFonts w:cs="Arial"/>
          <w:highlight w:val="yellow"/>
        </w:rPr>
      </w:pPr>
    </w:p>
    <w:tbl>
      <w:tblPr>
        <w:tblW w:w="9214" w:type="dxa"/>
        <w:tblInd w:w="-5" w:type="dxa"/>
        <w:shd w:val="clear" w:color="auto" w:fill="D9D9D9" w:themeFill="background1" w:themeFillShade="D9"/>
        <w:tblLayout w:type="fixed"/>
        <w:tblLook w:val="0000" w:firstRow="0" w:lastRow="0" w:firstColumn="0" w:lastColumn="0" w:noHBand="0" w:noVBand="0"/>
      </w:tblPr>
      <w:tblGrid>
        <w:gridCol w:w="9214"/>
      </w:tblGrid>
      <w:tr w:rsidR="00B91056" w:rsidRPr="00047CB2" w:rsidTr="007C56B5">
        <w:trPr>
          <w:cantSplit/>
          <w:trHeight w:val="426"/>
        </w:trPr>
        <w:tc>
          <w:tcPr>
            <w:tcW w:w="92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91056" w:rsidRPr="00047CB2" w:rsidRDefault="00B91056" w:rsidP="00B952A7">
            <w:pPr>
              <w:spacing w:line="276" w:lineRule="auto"/>
              <w:ind w:firstLine="37"/>
              <w:jc w:val="center"/>
              <w:outlineLvl w:val="0"/>
              <w:rPr>
                <w:rFonts w:cs="Arial"/>
                <w:b/>
                <w:sz w:val="40"/>
                <w:szCs w:val="40"/>
                <w:highlight w:val="yellow"/>
              </w:rPr>
            </w:pPr>
            <w:bookmarkStart w:id="226" w:name="_Toc306629759"/>
            <w:bookmarkStart w:id="227" w:name="_Toc306630553"/>
            <w:bookmarkStart w:id="228" w:name="_Toc306632180"/>
            <w:bookmarkStart w:id="229" w:name="_Toc306693605"/>
            <w:bookmarkStart w:id="230" w:name="_Toc306800346"/>
            <w:bookmarkStart w:id="231" w:name="_Toc116494085"/>
            <w:bookmarkStart w:id="232" w:name="_Toc116923163"/>
            <w:r w:rsidRPr="002E6104">
              <w:rPr>
                <w:rFonts w:cs="Arial"/>
                <w:b/>
                <w:sz w:val="40"/>
                <w:szCs w:val="40"/>
              </w:rPr>
              <w:t>Steuertipps für alle Steuerpflichtige</w:t>
            </w:r>
            <w:bookmarkEnd w:id="226"/>
            <w:bookmarkEnd w:id="227"/>
            <w:bookmarkEnd w:id="228"/>
            <w:bookmarkEnd w:id="229"/>
            <w:bookmarkEnd w:id="230"/>
            <w:r w:rsidRPr="002E6104">
              <w:rPr>
                <w:rFonts w:cs="Arial"/>
                <w:b/>
                <w:sz w:val="40"/>
                <w:szCs w:val="40"/>
              </w:rPr>
              <w:t>n</w:t>
            </w:r>
            <w:bookmarkEnd w:id="231"/>
            <w:bookmarkEnd w:id="232"/>
          </w:p>
        </w:tc>
      </w:tr>
    </w:tbl>
    <w:p w:rsidR="00B91056" w:rsidRPr="00047CB2" w:rsidRDefault="00B91056" w:rsidP="00B952A7">
      <w:pPr>
        <w:spacing w:line="276" w:lineRule="auto"/>
        <w:rPr>
          <w:rFonts w:cs="Arial"/>
          <w:highlight w:val="yellow"/>
        </w:rPr>
      </w:pPr>
    </w:p>
    <w:p w:rsidR="00B91056" w:rsidRPr="002E6104" w:rsidRDefault="00B91056" w:rsidP="005349C1">
      <w:pPr>
        <w:pStyle w:val="berschrift1"/>
        <w:numPr>
          <w:ilvl w:val="0"/>
          <w:numId w:val="12"/>
        </w:numPr>
        <w:rPr>
          <w:rFonts w:cs="Arial"/>
          <w:caps/>
          <w:color w:val="E36C0A" w:themeColor="accent6" w:themeShade="BF"/>
          <w:kern w:val="0"/>
          <w:sz w:val="24"/>
          <w:szCs w:val="24"/>
          <w:u w:val="none"/>
        </w:rPr>
      </w:pPr>
      <w:bookmarkStart w:id="233" w:name="_Toc116494086"/>
      <w:bookmarkStart w:id="234" w:name="_Toc116923164"/>
      <w:r w:rsidRPr="002E6104">
        <w:rPr>
          <w:rFonts w:cs="Arial"/>
          <w:caps/>
          <w:color w:val="E36C0A" w:themeColor="accent6" w:themeShade="BF"/>
          <w:kern w:val="0"/>
          <w:sz w:val="24"/>
          <w:szCs w:val="24"/>
          <w:u w:val="none"/>
        </w:rPr>
        <w:t>Sonderausgaben noch 20</w:t>
      </w:r>
      <w:r w:rsidR="00BB2252" w:rsidRPr="002E6104">
        <w:rPr>
          <w:rFonts w:cs="Arial"/>
          <w:caps/>
          <w:color w:val="E36C0A" w:themeColor="accent6" w:themeShade="BF"/>
          <w:kern w:val="0"/>
          <w:sz w:val="24"/>
          <w:szCs w:val="24"/>
          <w:u w:val="none"/>
        </w:rPr>
        <w:t>2</w:t>
      </w:r>
      <w:r w:rsidR="002E6104" w:rsidRPr="002E6104">
        <w:rPr>
          <w:rFonts w:cs="Arial"/>
          <w:caps/>
          <w:color w:val="E36C0A" w:themeColor="accent6" w:themeShade="BF"/>
          <w:kern w:val="0"/>
          <w:sz w:val="24"/>
          <w:szCs w:val="24"/>
          <w:u w:val="none"/>
        </w:rPr>
        <w:t>2</w:t>
      </w:r>
      <w:r w:rsidRPr="002E6104">
        <w:rPr>
          <w:rFonts w:cs="Arial"/>
          <w:caps/>
          <w:color w:val="E36C0A" w:themeColor="accent6" w:themeShade="BF"/>
          <w:kern w:val="0"/>
          <w:sz w:val="24"/>
          <w:szCs w:val="24"/>
          <w:u w:val="none"/>
        </w:rPr>
        <w:t xml:space="preserve"> bezahlen</w:t>
      </w:r>
      <w:bookmarkEnd w:id="233"/>
      <w:bookmarkEnd w:id="234"/>
    </w:p>
    <w:p w:rsidR="00B91056" w:rsidRPr="00823E6E" w:rsidRDefault="00B91056" w:rsidP="005349C1">
      <w:pPr>
        <w:pStyle w:val="berschrift2"/>
        <w:numPr>
          <w:ilvl w:val="1"/>
          <w:numId w:val="12"/>
        </w:numPr>
        <w:spacing w:line="276" w:lineRule="auto"/>
        <w:ind w:left="426" w:hanging="426"/>
        <w:jc w:val="both"/>
        <w:rPr>
          <w:rFonts w:cs="Arial"/>
        </w:rPr>
      </w:pPr>
      <w:bookmarkStart w:id="235" w:name="_Toc495922874"/>
      <w:bookmarkStart w:id="236" w:name="_Toc495923684"/>
      <w:bookmarkStart w:id="237" w:name="_Toc495923745"/>
      <w:bookmarkStart w:id="238" w:name="_Toc495923826"/>
      <w:bookmarkStart w:id="239" w:name="_Toc495923870"/>
      <w:bookmarkStart w:id="240" w:name="_Toc495593097"/>
      <w:bookmarkStart w:id="241" w:name="_Toc495916045"/>
      <w:bookmarkStart w:id="242" w:name="_Toc495922878"/>
      <w:bookmarkStart w:id="243" w:name="_Toc495923688"/>
      <w:bookmarkStart w:id="244" w:name="_Toc116494087"/>
      <w:bookmarkStart w:id="245" w:name="_Toc116923165"/>
      <w:bookmarkEnd w:id="235"/>
      <w:bookmarkEnd w:id="236"/>
      <w:bookmarkEnd w:id="237"/>
      <w:bookmarkEnd w:id="238"/>
      <w:bookmarkEnd w:id="239"/>
      <w:r w:rsidRPr="00823E6E">
        <w:rPr>
          <w:rFonts w:cs="Arial"/>
        </w:rPr>
        <w:t>Nachkauf von Pensionsversicherungszeiten und freiwillige Weiterversicherung in der Pensionsversicherung</w:t>
      </w:r>
      <w:bookmarkEnd w:id="240"/>
      <w:bookmarkEnd w:id="241"/>
      <w:bookmarkEnd w:id="242"/>
      <w:bookmarkEnd w:id="243"/>
      <w:bookmarkEnd w:id="244"/>
      <w:bookmarkEnd w:id="245"/>
    </w:p>
    <w:p w:rsidR="00B91056" w:rsidRPr="002E6104" w:rsidRDefault="00B91056" w:rsidP="00DE1254">
      <w:pPr>
        <w:spacing w:line="276" w:lineRule="auto"/>
        <w:ind w:left="426"/>
        <w:jc w:val="both"/>
        <w:rPr>
          <w:rFonts w:cs="Arial"/>
        </w:rPr>
      </w:pPr>
      <w:bookmarkStart w:id="246" w:name="_Toc306629764"/>
      <w:bookmarkStart w:id="247" w:name="_Toc306630558"/>
      <w:bookmarkStart w:id="248" w:name="_Toc306632185"/>
      <w:bookmarkStart w:id="249" w:name="_Toc306693610"/>
      <w:r w:rsidRPr="002E6104">
        <w:rPr>
          <w:rFonts w:cs="Arial"/>
        </w:rPr>
        <w:t xml:space="preserve">Ohne Höchstbetragsbegrenzung, unabhängig vom Einkommen und neben dem „Sonderausgabentopf“ sind etwa </w:t>
      </w:r>
      <w:r w:rsidRPr="002E6104">
        <w:rPr>
          <w:rFonts w:cs="Arial"/>
          <w:b/>
        </w:rPr>
        <w:t>Nachkäufe von Pensionsversicherungszeiten</w:t>
      </w:r>
      <w:r w:rsidRPr="002E6104">
        <w:rPr>
          <w:rFonts w:cs="Arial"/>
        </w:rPr>
        <w:t xml:space="preserve"> (Kauf von Schul- und Studienzeiten) und </w:t>
      </w:r>
      <w:r w:rsidRPr="002E6104">
        <w:rPr>
          <w:rFonts w:cs="Arial"/>
          <w:b/>
        </w:rPr>
        <w:t>freiwillige Weiterversicherungsbeiträge in der Pensions</w:t>
      </w:r>
      <w:r w:rsidR="00A42408" w:rsidRPr="002E6104">
        <w:rPr>
          <w:rFonts w:cs="Arial"/>
          <w:b/>
        </w:rPr>
        <w:softHyphen/>
      </w:r>
      <w:r w:rsidRPr="002E6104">
        <w:rPr>
          <w:rFonts w:cs="Arial"/>
          <w:b/>
        </w:rPr>
        <w:t>versicherung</w:t>
      </w:r>
      <w:r w:rsidRPr="002E6104">
        <w:rPr>
          <w:rFonts w:cs="Arial"/>
        </w:rPr>
        <w:t xml:space="preserve"> absetzbar.</w:t>
      </w:r>
      <w:bookmarkEnd w:id="246"/>
      <w:bookmarkEnd w:id="247"/>
      <w:bookmarkEnd w:id="248"/>
      <w:bookmarkEnd w:id="249"/>
      <w:r w:rsidRPr="002E6104">
        <w:rPr>
          <w:rFonts w:cs="Arial"/>
        </w:rPr>
        <w:t xml:space="preserve"> Einmalzahlungen können auf Antrag auf 10 Jahre verteilt als Sonderausgabe abgesetzt werden. </w:t>
      </w:r>
    </w:p>
    <w:p w:rsidR="00FB355E" w:rsidRPr="002E6104" w:rsidRDefault="00FB355E" w:rsidP="00B952A7">
      <w:pPr>
        <w:spacing w:line="276" w:lineRule="auto"/>
        <w:jc w:val="both"/>
        <w:rPr>
          <w:rFonts w:cs="Arial"/>
        </w:rPr>
      </w:pPr>
    </w:p>
    <w:p w:rsidR="00B91056" w:rsidRPr="005349C1" w:rsidRDefault="00B91056" w:rsidP="005349C1">
      <w:pPr>
        <w:pStyle w:val="berschrift2"/>
        <w:numPr>
          <w:ilvl w:val="1"/>
          <w:numId w:val="12"/>
        </w:numPr>
        <w:tabs>
          <w:tab w:val="clear" w:pos="1002"/>
          <w:tab w:val="num" w:pos="426"/>
        </w:tabs>
        <w:ind w:hanging="1002"/>
        <w:rPr>
          <w:rFonts w:cs="Arial"/>
        </w:rPr>
      </w:pPr>
      <w:bookmarkStart w:id="250" w:name="_Toc306629766"/>
      <w:bookmarkStart w:id="251" w:name="_Toc306630560"/>
      <w:bookmarkStart w:id="252" w:name="_Toc306632187"/>
      <w:bookmarkStart w:id="253" w:name="_Toc306693612"/>
      <w:bookmarkStart w:id="254" w:name="_Toc495593098"/>
      <w:bookmarkStart w:id="255" w:name="_Toc495916046"/>
      <w:bookmarkStart w:id="256" w:name="_Toc495922879"/>
      <w:bookmarkStart w:id="257" w:name="_Toc495923689"/>
      <w:bookmarkStart w:id="258" w:name="_Toc116494088"/>
      <w:bookmarkStart w:id="259" w:name="_Toc116923166"/>
      <w:r w:rsidRPr="005349C1">
        <w:rPr>
          <w:rFonts w:cs="Arial"/>
        </w:rPr>
        <w:t>Renten, Steuerberatungskosten und Kirchenbeitrag</w:t>
      </w:r>
      <w:bookmarkEnd w:id="250"/>
      <w:bookmarkEnd w:id="251"/>
      <w:bookmarkEnd w:id="252"/>
      <w:bookmarkEnd w:id="253"/>
      <w:bookmarkEnd w:id="254"/>
      <w:bookmarkEnd w:id="255"/>
      <w:bookmarkEnd w:id="256"/>
      <w:bookmarkEnd w:id="257"/>
      <w:bookmarkEnd w:id="258"/>
      <w:bookmarkEnd w:id="259"/>
    </w:p>
    <w:p w:rsidR="00B91056" w:rsidRPr="002E6104" w:rsidRDefault="00B91056" w:rsidP="00DE1254">
      <w:pPr>
        <w:spacing w:line="276" w:lineRule="auto"/>
        <w:ind w:left="426"/>
        <w:jc w:val="both"/>
        <w:rPr>
          <w:rFonts w:cs="Arial"/>
        </w:rPr>
      </w:pPr>
      <w:r w:rsidRPr="002E6104">
        <w:rPr>
          <w:rFonts w:cs="Arial"/>
        </w:rPr>
        <w:t xml:space="preserve">Unbeschränkt absetzbare Sonderausgaben sind weiterhin bestimmte </w:t>
      </w:r>
      <w:r w:rsidRPr="002E6104">
        <w:rPr>
          <w:rFonts w:cs="Arial"/>
          <w:b/>
        </w:rPr>
        <w:t>Renten</w:t>
      </w:r>
      <w:r w:rsidRPr="002E6104">
        <w:rPr>
          <w:rFonts w:cs="Arial"/>
        </w:rPr>
        <w:t xml:space="preserve"> (zB Kaufpreisrenten nach Ablauf bestimmter steuerlicher Fristen, vom Erben zu bezahlende Rentenlegate) sowie </w:t>
      </w:r>
      <w:r w:rsidRPr="002E6104">
        <w:rPr>
          <w:rFonts w:cs="Arial"/>
          <w:b/>
        </w:rPr>
        <w:t>Steuer</w:t>
      </w:r>
      <w:r w:rsidR="00BB2252" w:rsidRPr="002E6104">
        <w:rPr>
          <w:rFonts w:cs="Arial"/>
          <w:b/>
        </w:rPr>
        <w:softHyphen/>
      </w:r>
      <w:r w:rsidRPr="002E6104">
        <w:rPr>
          <w:rFonts w:cs="Arial"/>
          <w:b/>
        </w:rPr>
        <w:t>beratungskosten</w:t>
      </w:r>
      <w:r w:rsidRPr="002E6104">
        <w:rPr>
          <w:rFonts w:cs="Arial"/>
        </w:rPr>
        <w:t xml:space="preserve">. </w:t>
      </w:r>
      <w:r w:rsidRPr="002E6104">
        <w:rPr>
          <w:rFonts w:cs="Arial"/>
          <w:b/>
        </w:rPr>
        <w:t>Kirchenbeiträge</w:t>
      </w:r>
      <w:r w:rsidRPr="002E6104">
        <w:rPr>
          <w:rFonts w:cs="Arial"/>
        </w:rPr>
        <w:t xml:space="preserve"> (auch wenn sie an vergleichbare Religionsgesellschaften in der EU/EWR bezahlt werden) sind mit einem jährlichen Höchstbetrag von </w:t>
      </w:r>
      <w:r w:rsidRPr="002E6104">
        <w:rPr>
          <w:rFonts w:cs="Arial"/>
          <w:b/>
        </w:rPr>
        <w:t>€ 4</w:t>
      </w:r>
      <w:r w:rsidRPr="002E6104">
        <w:rPr>
          <w:rFonts w:cs="Arial"/>
          <w:b/>
          <w:bCs/>
        </w:rPr>
        <w:t xml:space="preserve">00 </w:t>
      </w:r>
      <w:r w:rsidRPr="002E6104">
        <w:rPr>
          <w:rFonts w:cs="Arial"/>
        </w:rPr>
        <w:t xml:space="preserve">begrenzt. </w:t>
      </w:r>
    </w:p>
    <w:p w:rsidR="00FB355E" w:rsidRPr="002E6104" w:rsidRDefault="00FB355E" w:rsidP="00B952A7">
      <w:pPr>
        <w:spacing w:line="276" w:lineRule="auto"/>
        <w:jc w:val="both"/>
        <w:rPr>
          <w:rFonts w:cs="Arial"/>
        </w:rPr>
      </w:pPr>
    </w:p>
    <w:p w:rsidR="00B91056" w:rsidRPr="008A7957" w:rsidRDefault="00B91056" w:rsidP="005349C1">
      <w:pPr>
        <w:pStyle w:val="berschrift2"/>
        <w:numPr>
          <w:ilvl w:val="1"/>
          <w:numId w:val="12"/>
        </w:numPr>
        <w:ind w:left="426" w:hanging="426"/>
      </w:pPr>
      <w:bookmarkStart w:id="260" w:name="_Toc306629768"/>
      <w:bookmarkStart w:id="261" w:name="_Toc306630562"/>
      <w:bookmarkStart w:id="262" w:name="_Toc306632189"/>
      <w:bookmarkStart w:id="263" w:name="_Toc306693614"/>
      <w:bookmarkStart w:id="264" w:name="_Toc495593099"/>
      <w:bookmarkStart w:id="265" w:name="_Toc495916047"/>
      <w:bookmarkStart w:id="266" w:name="_Toc495922880"/>
      <w:bookmarkStart w:id="267" w:name="_Toc495923690"/>
      <w:bookmarkStart w:id="268" w:name="_Toc116494089"/>
      <w:bookmarkStart w:id="269" w:name="_Toc116923167"/>
      <w:r w:rsidRPr="008A7957">
        <w:t>Spenden als Sonderausgaben</w:t>
      </w:r>
      <w:bookmarkEnd w:id="260"/>
      <w:bookmarkEnd w:id="261"/>
      <w:bookmarkEnd w:id="262"/>
      <w:bookmarkEnd w:id="263"/>
      <w:bookmarkEnd w:id="264"/>
      <w:bookmarkEnd w:id="265"/>
      <w:bookmarkEnd w:id="266"/>
      <w:bookmarkEnd w:id="267"/>
      <w:bookmarkEnd w:id="268"/>
      <w:bookmarkEnd w:id="269"/>
    </w:p>
    <w:p w:rsidR="00B91056" w:rsidRPr="002E6104" w:rsidRDefault="00B91056" w:rsidP="00DE1254">
      <w:pPr>
        <w:spacing w:line="276" w:lineRule="auto"/>
        <w:ind w:left="426"/>
        <w:jc w:val="both"/>
        <w:rPr>
          <w:rFonts w:cs="Arial"/>
        </w:rPr>
      </w:pPr>
      <w:r w:rsidRPr="002E6104">
        <w:rPr>
          <w:rFonts w:cs="Arial"/>
        </w:rPr>
        <w:t>Folgende Spenden können steuerlich als Sonderausgaben/Betriebsausgaben abgesetzt werden:</w:t>
      </w:r>
    </w:p>
    <w:p w:rsidR="00B91056" w:rsidRPr="002E6104" w:rsidRDefault="00B91056" w:rsidP="005349C1">
      <w:pPr>
        <w:pStyle w:val="Listenabsatz"/>
        <w:numPr>
          <w:ilvl w:val="0"/>
          <w:numId w:val="5"/>
        </w:numPr>
        <w:spacing w:line="276" w:lineRule="auto"/>
        <w:ind w:left="709" w:hanging="283"/>
        <w:jc w:val="both"/>
        <w:rPr>
          <w:rFonts w:cs="Arial"/>
        </w:rPr>
      </w:pPr>
      <w:r w:rsidRPr="002E6104">
        <w:rPr>
          <w:rFonts w:cs="Arial"/>
        </w:rPr>
        <w:t>Spenden für Forschungsaufgaben oder der Erwachsenenbildung dienende Lehraufgaben an bestimmte Einrichtungen sowie Spenden an bestimmte im Gesetz taxativ aufgezählte Organisationen, wie zB Museen, Bundesdenkmalamt und Behindertensportdachverbände.</w:t>
      </w:r>
    </w:p>
    <w:p w:rsidR="00B91056" w:rsidRPr="002E6104" w:rsidRDefault="00B91056" w:rsidP="005349C1">
      <w:pPr>
        <w:pStyle w:val="Listenabsatz"/>
        <w:numPr>
          <w:ilvl w:val="0"/>
          <w:numId w:val="5"/>
        </w:numPr>
        <w:spacing w:line="276" w:lineRule="auto"/>
        <w:ind w:left="709" w:hanging="283"/>
        <w:jc w:val="both"/>
        <w:rPr>
          <w:rFonts w:cs="Arial"/>
        </w:rPr>
      </w:pPr>
      <w:r w:rsidRPr="002E6104">
        <w:rPr>
          <w:rFonts w:cs="Arial"/>
        </w:rPr>
        <w:t>Spenden für mildtätige Zwecke, für die Bekämpfung von Armut und Not in Entwicklungsländern und für die Hilfestellung in nationalen und internationalen Katastrophenfällen.</w:t>
      </w:r>
    </w:p>
    <w:p w:rsidR="00B91056" w:rsidRPr="002E6104" w:rsidRDefault="00B91056" w:rsidP="005349C1">
      <w:pPr>
        <w:pStyle w:val="Listenabsatz"/>
        <w:numPr>
          <w:ilvl w:val="0"/>
          <w:numId w:val="5"/>
        </w:numPr>
        <w:spacing w:line="276" w:lineRule="auto"/>
        <w:ind w:left="709" w:hanging="283"/>
        <w:jc w:val="both"/>
        <w:rPr>
          <w:rFonts w:cs="Arial"/>
        </w:rPr>
      </w:pPr>
      <w:r w:rsidRPr="002E6104">
        <w:rPr>
          <w:rFonts w:cs="Arial"/>
        </w:rPr>
        <w:t>Spenden an Organisationen, die sich dem Umwelt-, Natur- und Artenschutz widmen, Tierheime, freiwillige Feuerwehren, Landesfeuerwehrverbände und die Internationale A</w:t>
      </w:r>
      <w:r w:rsidR="00C66181" w:rsidRPr="002E6104">
        <w:rPr>
          <w:rFonts w:cs="Arial"/>
        </w:rPr>
        <w:t>nti-Korruptions-Akademie (I</w:t>
      </w:r>
      <w:r w:rsidR="00291C20" w:rsidRPr="002E6104">
        <w:rPr>
          <w:rFonts w:cs="Arial"/>
        </w:rPr>
        <w:t>ACA), allgemein zugängliche Präsentation von Kunstwerken etc.</w:t>
      </w:r>
    </w:p>
    <w:p w:rsidR="00086990" w:rsidRPr="002E6104" w:rsidRDefault="00086990" w:rsidP="00B952A7">
      <w:pPr>
        <w:spacing w:line="276" w:lineRule="auto"/>
        <w:jc w:val="both"/>
        <w:rPr>
          <w:rFonts w:cs="Arial"/>
        </w:rPr>
      </w:pPr>
    </w:p>
    <w:p w:rsidR="00B91056" w:rsidRPr="002E6104" w:rsidRDefault="00B91056" w:rsidP="00B952A7">
      <w:pPr>
        <w:spacing w:line="276" w:lineRule="auto"/>
        <w:jc w:val="both"/>
        <w:rPr>
          <w:rFonts w:cs="Arial"/>
          <w:b/>
        </w:rPr>
      </w:pPr>
      <w:r w:rsidRPr="002E6104">
        <w:rPr>
          <w:rFonts w:cs="Arial"/>
        </w:rPr>
        <w:t xml:space="preserve">Die meisten </w:t>
      </w:r>
      <w:r w:rsidRPr="002E6104">
        <w:rPr>
          <w:rFonts w:cs="Arial"/>
          <w:b/>
        </w:rPr>
        <w:t>begünstigten Spendenempfänger müssen sich beim Finanzamt registrieren</w:t>
      </w:r>
      <w:r w:rsidRPr="002E6104">
        <w:rPr>
          <w:rFonts w:cs="Arial"/>
        </w:rPr>
        <w:t xml:space="preserve"> </w:t>
      </w:r>
      <w:r w:rsidRPr="002E6104">
        <w:rPr>
          <w:rFonts w:cs="Arial"/>
          <w:b/>
        </w:rPr>
        <w:t xml:space="preserve">lassen </w:t>
      </w:r>
      <w:r w:rsidRPr="002E6104">
        <w:rPr>
          <w:rFonts w:cs="Arial"/>
        </w:rPr>
        <w:t>und werden auf der Homepage des BMF (</w:t>
      </w:r>
      <w:hyperlink r:id="rId8" w:history="1">
        <w:r w:rsidR="00C60BFA" w:rsidRPr="0004563B">
          <w:rPr>
            <w:rStyle w:val="Hyperlink"/>
            <w:rFonts w:cs="Arial"/>
          </w:rPr>
          <w:t>http://www.bmf.gv.at/service/allg/spenden/</w:t>
        </w:r>
      </w:hyperlink>
      <w:r w:rsidRPr="002E6104">
        <w:rPr>
          <w:rFonts w:cs="Arial"/>
        </w:rPr>
        <w:t>) veröffentlicht. Bestimmte österreichische Museen, das Bundesdenkmalamt, Universitäten und ähnliche Institutionen sowie die freiwilligen Feuerwehren und Landesfeuerwehrverbä</w:t>
      </w:r>
      <w:r w:rsidR="00A67C11" w:rsidRPr="002E6104">
        <w:rPr>
          <w:rFonts w:cs="Arial"/>
        </w:rPr>
        <w:t xml:space="preserve">nde sind von der Registrierung </w:t>
      </w:r>
      <w:r w:rsidRPr="002E6104">
        <w:rPr>
          <w:rFonts w:cs="Arial"/>
        </w:rPr>
        <w:t>ausgenommen.</w:t>
      </w:r>
      <w:r w:rsidR="005349C1">
        <w:rPr>
          <w:rFonts w:cs="Arial"/>
        </w:rPr>
        <w:t xml:space="preserve"> </w:t>
      </w:r>
      <w:r w:rsidRPr="002E6104">
        <w:rPr>
          <w:rFonts w:cs="Arial"/>
        </w:rPr>
        <w:t xml:space="preserve">Die Spenden </w:t>
      </w:r>
      <w:r w:rsidRPr="002E6104">
        <w:rPr>
          <w:rFonts w:cs="Arial"/>
          <w:b/>
        </w:rPr>
        <w:t>an alle begünstigten Spendenempfänger</w:t>
      </w:r>
      <w:r w:rsidRPr="002E6104">
        <w:rPr>
          <w:rFonts w:cs="Arial"/>
        </w:rPr>
        <w:t xml:space="preserve"> sind </w:t>
      </w:r>
      <w:r w:rsidRPr="002E6104">
        <w:rPr>
          <w:rFonts w:cs="Arial"/>
          <w:b/>
        </w:rPr>
        <w:t>innerhalb folgender Grenzen absetzbar:</w:t>
      </w:r>
    </w:p>
    <w:p w:rsidR="00B91056" w:rsidRPr="002E6104" w:rsidRDefault="00B91056" w:rsidP="005349C1">
      <w:pPr>
        <w:pStyle w:val="Listenabsatz"/>
        <w:numPr>
          <w:ilvl w:val="0"/>
          <w:numId w:val="6"/>
        </w:numPr>
        <w:spacing w:line="276" w:lineRule="auto"/>
        <w:ind w:left="284" w:hanging="284"/>
        <w:jc w:val="both"/>
        <w:rPr>
          <w:rFonts w:cs="Arial"/>
        </w:rPr>
      </w:pPr>
      <w:r w:rsidRPr="002E6104">
        <w:rPr>
          <w:rFonts w:cs="Arial"/>
        </w:rPr>
        <w:t xml:space="preserve">Als Betriebsausgaben können Spenden bis zu </w:t>
      </w:r>
      <w:r w:rsidRPr="002E6104">
        <w:rPr>
          <w:rFonts w:cs="Arial"/>
          <w:b/>
        </w:rPr>
        <w:t>10% des Gewinns des laufenden Wirtschafts</w:t>
      </w:r>
      <w:r w:rsidR="00A42408" w:rsidRPr="002E6104">
        <w:rPr>
          <w:rFonts w:cs="Arial"/>
          <w:b/>
        </w:rPr>
        <w:softHyphen/>
      </w:r>
      <w:r w:rsidRPr="002E6104">
        <w:rPr>
          <w:rFonts w:cs="Arial"/>
          <w:b/>
        </w:rPr>
        <w:t xml:space="preserve">jahres </w:t>
      </w:r>
      <w:r w:rsidRPr="002E6104">
        <w:rPr>
          <w:rFonts w:cs="Arial"/>
        </w:rPr>
        <w:t>abgezogen werden.</w:t>
      </w:r>
    </w:p>
    <w:p w:rsidR="009A4E24" w:rsidRPr="002E6104" w:rsidRDefault="00B91056" w:rsidP="005349C1">
      <w:pPr>
        <w:pStyle w:val="Listenabsatz"/>
        <w:numPr>
          <w:ilvl w:val="0"/>
          <w:numId w:val="6"/>
        </w:numPr>
        <w:tabs>
          <w:tab w:val="left" w:pos="9214"/>
        </w:tabs>
        <w:spacing w:line="276" w:lineRule="auto"/>
        <w:ind w:left="284" w:hanging="284"/>
        <w:jc w:val="both"/>
        <w:rPr>
          <w:rFonts w:cs="Arial"/>
        </w:rPr>
      </w:pPr>
      <w:r w:rsidRPr="002E6104">
        <w:rPr>
          <w:rFonts w:cs="Arial"/>
        </w:rPr>
        <w:t xml:space="preserve">Als Sonderausgaben absetzbare private Spenden sind mit </w:t>
      </w:r>
      <w:r w:rsidRPr="002E6104">
        <w:rPr>
          <w:rFonts w:cs="Arial"/>
          <w:b/>
        </w:rPr>
        <w:t>10% des aktuellen Jahres</w:t>
      </w:r>
      <w:r w:rsidR="004E670D" w:rsidRPr="002E6104">
        <w:rPr>
          <w:rFonts w:cs="Arial"/>
          <w:b/>
        </w:rPr>
        <w:softHyphen/>
      </w:r>
      <w:r w:rsidRPr="002E6104">
        <w:rPr>
          <w:rFonts w:cs="Arial"/>
          <w:b/>
        </w:rPr>
        <w:t>einkommens</w:t>
      </w:r>
      <w:r w:rsidRPr="002E6104">
        <w:rPr>
          <w:rFonts w:cs="Arial"/>
        </w:rPr>
        <w:t xml:space="preserve"> begrenzt, wobei schon abgezogene betriebliche Spenden auf diese Grenze angerechnet werden</w:t>
      </w:r>
      <w:r w:rsidR="00AE43DC" w:rsidRPr="002E6104">
        <w:rPr>
          <w:rFonts w:cs="Arial"/>
        </w:rPr>
        <w:t>.</w:t>
      </w:r>
    </w:p>
    <w:p w:rsidR="003E7B8B" w:rsidRPr="002E6104" w:rsidRDefault="003E7B8B" w:rsidP="003E7B8B">
      <w:pPr>
        <w:tabs>
          <w:tab w:val="left" w:pos="9214"/>
        </w:tabs>
        <w:spacing w:line="276" w:lineRule="auto"/>
        <w:jc w:val="both"/>
        <w:rPr>
          <w:rFonts w:cs="Arial"/>
        </w:rPr>
      </w:pPr>
    </w:p>
    <w:p w:rsidR="00B666C1" w:rsidRPr="002E6104" w:rsidRDefault="00C60BFA" w:rsidP="00C60BFA">
      <w:pPr>
        <w:shd w:val="clear" w:color="auto" w:fill="B8CCE4" w:themeFill="accent1" w:themeFillTint="66"/>
        <w:autoSpaceDE w:val="0"/>
        <w:autoSpaceDN w:val="0"/>
        <w:adjustRightInd w:val="0"/>
        <w:spacing w:line="276" w:lineRule="auto"/>
        <w:jc w:val="both"/>
        <w:rPr>
          <w:rFonts w:cs="Arial"/>
        </w:rPr>
      </w:pPr>
      <w:r>
        <w:rPr>
          <w:rFonts w:cs="Arial"/>
          <w:b/>
        </w:rPr>
        <w:t>Hinweis</w:t>
      </w:r>
      <w:r w:rsidR="00D1510C" w:rsidRPr="002E6104">
        <w:rPr>
          <w:rFonts w:cs="Arial"/>
          <w:b/>
        </w:rPr>
        <w:t xml:space="preserve">: </w:t>
      </w:r>
      <w:r w:rsidR="002146AD" w:rsidRPr="002E6104">
        <w:rPr>
          <w:rFonts w:cs="Arial"/>
          <w:b/>
        </w:rPr>
        <w:t>Spenden, Kirchenbeiträge oder Beiträge für die freiwillige Weiterversicherung</w:t>
      </w:r>
      <w:r w:rsidR="002146AD" w:rsidRPr="002E6104">
        <w:rPr>
          <w:rFonts w:cs="Arial"/>
        </w:rPr>
        <w:t xml:space="preserve"> oder für den Nach</w:t>
      </w:r>
      <w:r w:rsidR="002146AD" w:rsidRPr="002E6104">
        <w:rPr>
          <w:rFonts w:cs="Arial"/>
        </w:rPr>
        <w:softHyphen/>
        <w:t>kauf von Versicherungszeiten in der Pensionsversicherung werden für das Jahr 20</w:t>
      </w:r>
      <w:r w:rsidR="00137F05" w:rsidRPr="002E6104">
        <w:rPr>
          <w:rFonts w:cs="Arial"/>
        </w:rPr>
        <w:t>2</w:t>
      </w:r>
      <w:r w:rsidR="002E6104" w:rsidRPr="002E6104">
        <w:rPr>
          <w:rFonts w:cs="Arial"/>
        </w:rPr>
        <w:t>2</w:t>
      </w:r>
      <w:r w:rsidR="002146AD" w:rsidRPr="002E6104">
        <w:rPr>
          <w:rFonts w:cs="Arial"/>
        </w:rPr>
        <w:t xml:space="preserve"> </w:t>
      </w:r>
      <w:r w:rsidR="00D1510C" w:rsidRPr="002E6104">
        <w:rPr>
          <w:rFonts w:cs="Arial"/>
        </w:rPr>
        <w:t xml:space="preserve">nur mehr auf Grund </w:t>
      </w:r>
      <w:r w:rsidR="00D1510C" w:rsidRPr="002E6104">
        <w:rPr>
          <w:rFonts w:cs="Arial"/>
          <w:b/>
          <w:bCs/>
        </w:rPr>
        <w:t>der elektronisch übermitte</w:t>
      </w:r>
      <w:r w:rsidR="00337E3A" w:rsidRPr="002E6104">
        <w:rPr>
          <w:rFonts w:cs="Arial"/>
          <w:b/>
          <w:bCs/>
        </w:rPr>
        <w:t>l</w:t>
      </w:r>
      <w:r w:rsidR="00D1510C" w:rsidRPr="002E6104">
        <w:rPr>
          <w:rFonts w:cs="Arial"/>
          <w:b/>
          <w:bCs/>
        </w:rPr>
        <w:t>ten Daten</w:t>
      </w:r>
      <w:r w:rsidR="00D1510C" w:rsidRPr="002E6104">
        <w:rPr>
          <w:rFonts w:cs="Arial"/>
        </w:rPr>
        <w:t xml:space="preserve"> der Empfängerorganisationen </w:t>
      </w:r>
      <w:r w:rsidR="00337E3A" w:rsidRPr="002E6104">
        <w:rPr>
          <w:rFonts w:cs="Arial"/>
        </w:rPr>
        <w:t>bei Ihrer (Arbeit</w:t>
      </w:r>
      <w:r w:rsidR="00337E3A" w:rsidRPr="002E6104">
        <w:rPr>
          <w:rFonts w:cs="Arial"/>
        </w:rPr>
        <w:softHyphen/>
        <w:t xml:space="preserve">nehmer) Veranlagung </w:t>
      </w:r>
      <w:r w:rsidR="00D1510C" w:rsidRPr="002E6104">
        <w:rPr>
          <w:rFonts w:cs="Arial"/>
        </w:rPr>
        <w:t>berücksichtigt.</w:t>
      </w:r>
    </w:p>
    <w:p w:rsidR="00B91056" w:rsidRPr="003B53A9" w:rsidRDefault="00B91056" w:rsidP="00B952A7">
      <w:pPr>
        <w:overflowPunct w:val="0"/>
        <w:autoSpaceDE w:val="0"/>
        <w:autoSpaceDN w:val="0"/>
        <w:adjustRightInd w:val="0"/>
        <w:spacing w:line="276" w:lineRule="auto"/>
        <w:jc w:val="both"/>
        <w:textAlignment w:val="baseline"/>
        <w:outlineLvl w:val="1"/>
        <w:rPr>
          <w:rFonts w:cs="Arial"/>
          <w:b/>
        </w:rPr>
      </w:pPr>
      <w:bookmarkStart w:id="270" w:name="_Toc306629773"/>
      <w:bookmarkStart w:id="271" w:name="_Toc306630567"/>
      <w:bookmarkStart w:id="272" w:name="_Toc306632194"/>
      <w:bookmarkStart w:id="273" w:name="_Toc306693619"/>
    </w:p>
    <w:p w:rsidR="00B666C1" w:rsidRPr="003B53A9" w:rsidRDefault="00B666C1" w:rsidP="005349C1">
      <w:pPr>
        <w:pStyle w:val="berschrift2"/>
        <w:numPr>
          <w:ilvl w:val="1"/>
          <w:numId w:val="12"/>
        </w:numPr>
        <w:ind w:left="567" w:hanging="567"/>
      </w:pPr>
      <w:bookmarkStart w:id="274" w:name="_Toc116923168"/>
      <w:r w:rsidRPr="003B53A9">
        <w:t>Öko-Sonderausgabenpauschale</w:t>
      </w:r>
      <w:bookmarkEnd w:id="274"/>
    </w:p>
    <w:p w:rsidR="00B666C1" w:rsidRDefault="00312262" w:rsidP="005349C1">
      <w:pPr>
        <w:spacing w:line="276" w:lineRule="auto"/>
        <w:jc w:val="both"/>
      </w:pPr>
      <w:r>
        <w:t xml:space="preserve">Im Zuge der </w:t>
      </w:r>
      <w:r w:rsidR="003B53A9">
        <w:t>ökosoziale</w:t>
      </w:r>
      <w:r>
        <w:t>n</w:t>
      </w:r>
      <w:r w:rsidR="003B53A9">
        <w:t xml:space="preserve"> Steuerreform</w:t>
      </w:r>
      <w:r>
        <w:t xml:space="preserve"> wurde ein neuer Sonderausgabentatbestand ab dem </w:t>
      </w:r>
      <w:r w:rsidR="002D1681">
        <w:t>J</w:t>
      </w:r>
      <w:r>
        <w:t xml:space="preserve">ahr 2022 eingeführt. </w:t>
      </w:r>
      <w:r w:rsidR="003B53A9">
        <w:t xml:space="preserve">Neben den Ausgaben für die thermische Sanierung von Gebäuden ist auch der Ersatz von fossilen durch klimafreundlichere </w:t>
      </w:r>
      <w:r w:rsidR="002D1681">
        <w:t xml:space="preserve">Heizsystemen </w:t>
      </w:r>
      <w:r w:rsidR="003B53A9">
        <w:t xml:space="preserve">begünstigt. </w:t>
      </w:r>
    </w:p>
    <w:p w:rsidR="003B53A9" w:rsidRDefault="003B53A9" w:rsidP="005349C1">
      <w:pPr>
        <w:spacing w:line="276" w:lineRule="auto"/>
        <w:jc w:val="both"/>
      </w:pPr>
    </w:p>
    <w:p w:rsidR="003B53A9" w:rsidRPr="00B666C1" w:rsidRDefault="003B53A9" w:rsidP="005349C1">
      <w:pPr>
        <w:spacing w:line="276" w:lineRule="auto"/>
        <w:jc w:val="both"/>
      </w:pPr>
      <w:r>
        <w:t xml:space="preserve">Wurden Kosten für die thermische Sanierung </w:t>
      </w:r>
      <w:r w:rsidR="005349C1">
        <w:t>von</w:t>
      </w:r>
      <w:r>
        <w:t xml:space="preserve"> € 4.000 bzw € 2.000 bei Heizkesseltausch (nach Abzug aller Förderungen</w:t>
      </w:r>
      <w:r w:rsidR="002D1681">
        <w:t>)</w:t>
      </w:r>
      <w:r>
        <w:t xml:space="preserve"> überschritten</w:t>
      </w:r>
      <w:r w:rsidR="00C60BFA">
        <w:t>,</w:t>
      </w:r>
      <w:r>
        <w:t xml:space="preserve"> so steht im Jahr 2022 das Öko-Sonderausgabenpauschale </w:t>
      </w:r>
      <w:r w:rsidR="005349C1">
        <w:t>von</w:t>
      </w:r>
      <w:r>
        <w:t xml:space="preserve"> € 800 bzw € 400 zu. </w:t>
      </w:r>
      <w:r w:rsidR="00823E6E">
        <w:t xml:space="preserve">Die restlichen Aufwendungen werden auf die kommenden 4 Jahre aufgeteilt. Dieses spezielle Sonderausgabenpauschale </w:t>
      </w:r>
      <w:r w:rsidR="004D02E7">
        <w:t>kann im Jahr 2022</w:t>
      </w:r>
      <w:r w:rsidR="00823E6E">
        <w:t xml:space="preserve"> allerdings nur </w:t>
      </w:r>
      <w:r w:rsidR="004D02E7">
        <w:t>dann geltend gemacht werden</w:t>
      </w:r>
      <w:r w:rsidR="00823E6E">
        <w:t>, wenn der zu Grunde liegende Förderantrag noch im Jahr 2022 eingebracht wird.</w:t>
      </w:r>
    </w:p>
    <w:p w:rsidR="005349C1" w:rsidRPr="00047CB2" w:rsidRDefault="005349C1" w:rsidP="005349C1">
      <w:pPr>
        <w:overflowPunct w:val="0"/>
        <w:autoSpaceDE w:val="0"/>
        <w:autoSpaceDN w:val="0"/>
        <w:adjustRightInd w:val="0"/>
        <w:spacing w:line="276" w:lineRule="auto"/>
        <w:jc w:val="both"/>
        <w:textAlignment w:val="baseline"/>
        <w:outlineLvl w:val="1"/>
        <w:rPr>
          <w:rFonts w:cs="Arial"/>
          <w:b/>
          <w:highlight w:val="yellow"/>
        </w:rPr>
      </w:pPr>
    </w:p>
    <w:p w:rsidR="00B91056" w:rsidRPr="007359AA" w:rsidRDefault="00B91056" w:rsidP="007359AA">
      <w:pPr>
        <w:pStyle w:val="berschrift1"/>
        <w:numPr>
          <w:ilvl w:val="0"/>
          <w:numId w:val="12"/>
        </w:numPr>
        <w:overflowPunct w:val="0"/>
        <w:autoSpaceDE w:val="0"/>
        <w:autoSpaceDN w:val="0"/>
        <w:adjustRightInd w:val="0"/>
        <w:spacing w:line="276" w:lineRule="auto"/>
        <w:jc w:val="both"/>
        <w:textAlignment w:val="baseline"/>
        <w:rPr>
          <w:rFonts w:cs="Arial"/>
          <w:caps/>
          <w:color w:val="E36C0A" w:themeColor="accent6" w:themeShade="BF"/>
          <w:sz w:val="24"/>
          <w:szCs w:val="24"/>
          <w:u w:val="none"/>
        </w:rPr>
      </w:pPr>
      <w:bookmarkStart w:id="275" w:name="_Toc116494090"/>
      <w:bookmarkStart w:id="276" w:name="_Toc116923169"/>
      <w:r w:rsidRPr="007359AA">
        <w:rPr>
          <w:rFonts w:cs="Arial"/>
          <w:caps/>
          <w:color w:val="E36C0A" w:themeColor="accent6" w:themeShade="BF"/>
          <w:sz w:val="24"/>
          <w:szCs w:val="24"/>
          <w:u w:val="none"/>
        </w:rPr>
        <w:t>Spenden von Privatstiftungen</w:t>
      </w:r>
      <w:bookmarkEnd w:id="270"/>
      <w:bookmarkEnd w:id="271"/>
      <w:bookmarkEnd w:id="272"/>
      <w:bookmarkEnd w:id="273"/>
      <w:bookmarkEnd w:id="275"/>
      <w:bookmarkEnd w:id="276"/>
      <w:r w:rsidRPr="007359AA">
        <w:rPr>
          <w:rFonts w:cs="Arial"/>
          <w:caps/>
          <w:color w:val="E36C0A" w:themeColor="accent6" w:themeShade="BF"/>
          <w:sz w:val="24"/>
          <w:szCs w:val="24"/>
          <w:u w:val="none"/>
        </w:rPr>
        <w:t xml:space="preserve"> </w:t>
      </w:r>
    </w:p>
    <w:p w:rsidR="00B91056" w:rsidRPr="00B666C1" w:rsidRDefault="00B91056" w:rsidP="007359AA">
      <w:pPr>
        <w:spacing w:before="240" w:line="276" w:lineRule="auto"/>
        <w:jc w:val="both"/>
        <w:rPr>
          <w:rFonts w:cs="Arial"/>
        </w:rPr>
      </w:pPr>
      <w:r w:rsidRPr="00B666C1">
        <w:rPr>
          <w:rFonts w:cs="Arial"/>
          <w:b/>
        </w:rPr>
        <w:t>Spendenfreudige Privatstiftungen</w:t>
      </w:r>
      <w:r w:rsidRPr="00B666C1">
        <w:rPr>
          <w:rFonts w:cs="Arial"/>
        </w:rPr>
        <w:t xml:space="preserve"> können für die vorstehend genannten begünstigten Spendenempfänger auch </w:t>
      </w:r>
      <w:r w:rsidRPr="00B666C1">
        <w:rPr>
          <w:rFonts w:cs="Arial"/>
          <w:b/>
        </w:rPr>
        <w:t>KESt-frei</w:t>
      </w:r>
      <w:r w:rsidRPr="00B666C1">
        <w:rPr>
          <w:rFonts w:cs="Arial"/>
        </w:rPr>
        <w:t xml:space="preserve"> aus dem Stiftungsvermögen spenden. Für diese Spenden muss auch keine Begünstigtenmeldung nach § 5 PSG abgegeben werden. </w:t>
      </w:r>
    </w:p>
    <w:p w:rsidR="00D1510C" w:rsidRPr="00B666C1" w:rsidRDefault="00D1510C" w:rsidP="00B952A7">
      <w:pPr>
        <w:tabs>
          <w:tab w:val="left" w:pos="9072"/>
        </w:tabs>
        <w:spacing w:line="276" w:lineRule="auto"/>
        <w:jc w:val="both"/>
        <w:rPr>
          <w:rFonts w:cs="Arial"/>
          <w:b/>
        </w:rPr>
      </w:pPr>
    </w:p>
    <w:p w:rsidR="00B91056" w:rsidRPr="00B666C1" w:rsidRDefault="00B91056" w:rsidP="00DE1254">
      <w:pPr>
        <w:shd w:val="clear" w:color="auto" w:fill="C6D9F1" w:themeFill="text2" w:themeFillTint="33"/>
        <w:tabs>
          <w:tab w:val="left" w:pos="9072"/>
        </w:tabs>
        <w:spacing w:line="276" w:lineRule="auto"/>
        <w:jc w:val="both"/>
        <w:rPr>
          <w:rFonts w:cs="Arial"/>
        </w:rPr>
      </w:pPr>
      <w:r w:rsidRPr="00B666C1">
        <w:rPr>
          <w:rFonts w:cs="Arial"/>
          <w:b/>
        </w:rPr>
        <w:t>Achtung:</w:t>
      </w:r>
      <w:r w:rsidRPr="00B666C1">
        <w:rPr>
          <w:rFonts w:cs="Arial"/>
        </w:rPr>
        <w:t xml:space="preserve"> Als Stiftungsvorstand sollten Sie aber zuerst eruieren, ob die Stiftungsurkunden Sie überhaupt zu Spenden ermächtigen!</w:t>
      </w:r>
    </w:p>
    <w:p w:rsidR="00D04033" w:rsidRDefault="00D04033" w:rsidP="00D04033">
      <w:pPr>
        <w:rPr>
          <w:highlight w:val="yellow"/>
        </w:rPr>
      </w:pPr>
      <w:bookmarkStart w:id="277" w:name="_Toc306629775"/>
      <w:bookmarkStart w:id="278" w:name="_Toc306630569"/>
      <w:bookmarkStart w:id="279" w:name="_Toc306632196"/>
    </w:p>
    <w:p w:rsidR="005349C1" w:rsidRPr="00047CB2" w:rsidRDefault="005349C1" w:rsidP="00D04033">
      <w:pPr>
        <w:rPr>
          <w:highlight w:val="yellow"/>
        </w:rPr>
      </w:pPr>
    </w:p>
    <w:p w:rsidR="00B91056" w:rsidRPr="007359AA" w:rsidRDefault="002146AD" w:rsidP="007359AA">
      <w:pPr>
        <w:pStyle w:val="berschrift1"/>
        <w:rPr>
          <w:rFonts w:cs="Arial"/>
          <w:caps/>
          <w:color w:val="E36C0A" w:themeColor="accent6" w:themeShade="BF"/>
          <w:sz w:val="24"/>
          <w:szCs w:val="24"/>
          <w:u w:val="none"/>
        </w:rPr>
      </w:pPr>
      <w:bookmarkStart w:id="280" w:name="_Toc116494091"/>
      <w:bookmarkStart w:id="281" w:name="_Toc116923170"/>
      <w:r w:rsidRPr="007359AA">
        <w:rPr>
          <w:rFonts w:cs="Arial"/>
          <w:caps/>
          <w:color w:val="E36C0A" w:themeColor="accent6" w:themeShade="BF"/>
          <w:sz w:val="24"/>
          <w:szCs w:val="24"/>
          <w:u w:val="none"/>
        </w:rPr>
        <w:t>Au</w:t>
      </w:r>
      <w:r w:rsidR="007B1D47" w:rsidRPr="007359AA">
        <w:rPr>
          <w:rFonts w:cs="Arial"/>
          <w:caps/>
          <w:color w:val="E36C0A" w:themeColor="accent6" w:themeShade="BF"/>
          <w:sz w:val="24"/>
          <w:szCs w:val="24"/>
          <w:u w:val="none"/>
        </w:rPr>
        <w:t>ss</w:t>
      </w:r>
      <w:r w:rsidRPr="007359AA">
        <w:rPr>
          <w:rFonts w:cs="Arial"/>
          <w:caps/>
          <w:color w:val="E36C0A" w:themeColor="accent6" w:themeShade="BF"/>
          <w:sz w:val="24"/>
          <w:szCs w:val="24"/>
          <w:u w:val="none"/>
        </w:rPr>
        <w:t>ergewöhnliche</w:t>
      </w:r>
      <w:r w:rsidR="00B91056" w:rsidRPr="007359AA">
        <w:rPr>
          <w:rFonts w:cs="Arial"/>
          <w:caps/>
          <w:color w:val="E36C0A" w:themeColor="accent6" w:themeShade="BF"/>
          <w:sz w:val="24"/>
          <w:szCs w:val="24"/>
          <w:u w:val="none"/>
        </w:rPr>
        <w:t xml:space="preserve"> Belastungen noch 20</w:t>
      </w:r>
      <w:r w:rsidR="00BB2252" w:rsidRPr="007359AA">
        <w:rPr>
          <w:rFonts w:cs="Arial"/>
          <w:caps/>
          <w:color w:val="E36C0A" w:themeColor="accent6" w:themeShade="BF"/>
          <w:sz w:val="24"/>
          <w:szCs w:val="24"/>
          <w:u w:val="none"/>
        </w:rPr>
        <w:t>2</w:t>
      </w:r>
      <w:r w:rsidR="00B666C1" w:rsidRPr="007359AA">
        <w:rPr>
          <w:rFonts w:cs="Arial"/>
          <w:caps/>
          <w:color w:val="E36C0A" w:themeColor="accent6" w:themeShade="BF"/>
          <w:sz w:val="24"/>
          <w:szCs w:val="24"/>
          <w:u w:val="none"/>
        </w:rPr>
        <w:t>2</w:t>
      </w:r>
      <w:r w:rsidR="00B91056" w:rsidRPr="007359AA">
        <w:rPr>
          <w:rFonts w:cs="Arial"/>
          <w:caps/>
          <w:color w:val="E36C0A" w:themeColor="accent6" w:themeShade="BF"/>
          <w:sz w:val="24"/>
          <w:szCs w:val="24"/>
          <w:u w:val="none"/>
        </w:rPr>
        <w:t xml:space="preserve"> bezahlen</w:t>
      </w:r>
      <w:bookmarkEnd w:id="277"/>
      <w:bookmarkEnd w:id="278"/>
      <w:bookmarkEnd w:id="279"/>
      <w:bookmarkEnd w:id="280"/>
      <w:bookmarkEnd w:id="281"/>
    </w:p>
    <w:p w:rsidR="0053353E" w:rsidRPr="00B666C1" w:rsidRDefault="00B91056" w:rsidP="007359AA">
      <w:pPr>
        <w:spacing w:before="240" w:line="276" w:lineRule="auto"/>
        <w:jc w:val="both"/>
        <w:rPr>
          <w:rFonts w:cs="Arial"/>
        </w:rPr>
      </w:pPr>
      <w:bookmarkStart w:id="282" w:name="_Toc306629776"/>
      <w:bookmarkStart w:id="283" w:name="_Toc306630570"/>
      <w:bookmarkStart w:id="284" w:name="_Toc306632197"/>
      <w:bookmarkStart w:id="285" w:name="_Toc306693622"/>
      <w:r w:rsidRPr="00B666C1">
        <w:rPr>
          <w:rFonts w:cs="Arial"/>
        </w:rPr>
        <w:t>Voraussetzung für die Anerkennung von Krankheitskosten als außergewöhnliche Belastung ist, dass nachweislich eine Krankheit vorliegt, die durch die Behandlung eine Linderung oder Heilung erfährt. Zu den abzugsfähigen Kosten zählen Kosten für Arzt, Medikamente, Spital, Betreuung, Aus</w:t>
      </w:r>
      <w:r w:rsidR="004E670D" w:rsidRPr="00B666C1">
        <w:rPr>
          <w:rFonts w:cs="Arial"/>
        </w:rPr>
        <w:softHyphen/>
      </w:r>
      <w:r w:rsidRPr="00B666C1">
        <w:rPr>
          <w:rFonts w:cs="Arial"/>
        </w:rPr>
        <w:t>gaben für Zahnbehandlungen oder medizinisch notwendige Kuraufenthalte und Auf</w:t>
      </w:r>
      <w:r w:rsidR="004E670D" w:rsidRPr="00B666C1">
        <w:rPr>
          <w:rFonts w:cs="Arial"/>
        </w:rPr>
        <w:softHyphen/>
      </w:r>
      <w:r w:rsidRPr="00B666C1">
        <w:rPr>
          <w:rFonts w:cs="Arial"/>
        </w:rPr>
        <w:t>wendungen für Heilbehelfe wie Zahnersatz, Sehbehelfe einschließlich Laserbehandlung zur Ver</w:t>
      </w:r>
      <w:r w:rsidR="004E670D" w:rsidRPr="00B666C1">
        <w:rPr>
          <w:rFonts w:cs="Arial"/>
        </w:rPr>
        <w:softHyphen/>
      </w:r>
      <w:r w:rsidRPr="00B666C1">
        <w:rPr>
          <w:rFonts w:cs="Arial"/>
        </w:rPr>
        <w:t>besser</w:t>
      </w:r>
      <w:r w:rsidR="004E670D" w:rsidRPr="00B666C1">
        <w:rPr>
          <w:rFonts w:cs="Arial"/>
        </w:rPr>
        <w:softHyphen/>
      </w:r>
      <w:r w:rsidRPr="00B666C1">
        <w:rPr>
          <w:rFonts w:cs="Arial"/>
        </w:rPr>
        <w:t xml:space="preserve">ung der Sehfähigkeit, Hörgeräte, Prothesen, Gehhilfen und Bruchbänder. Steuerwirksam werden solche Ausgaben erst dann, wenn sie insgesamt einen vom Einkommen und Familienstand abhängigen </w:t>
      </w:r>
      <w:r w:rsidRPr="00B666C1">
        <w:rPr>
          <w:rFonts w:cs="Arial"/>
          <w:b/>
        </w:rPr>
        <w:t>Selbstbehalt</w:t>
      </w:r>
      <w:r w:rsidRPr="00B666C1">
        <w:rPr>
          <w:rFonts w:cs="Arial"/>
        </w:rPr>
        <w:t xml:space="preserve"> (der maximal </w:t>
      </w:r>
      <w:r w:rsidRPr="00B666C1">
        <w:rPr>
          <w:rFonts w:cs="Arial"/>
          <w:b/>
        </w:rPr>
        <w:t>12% des Einkommens</w:t>
      </w:r>
      <w:r w:rsidRPr="00B666C1">
        <w:rPr>
          <w:rFonts w:cs="Arial"/>
        </w:rPr>
        <w:t xml:space="preserve"> beträgt) über</w:t>
      </w:r>
      <w:r w:rsidR="004E670D" w:rsidRPr="00B666C1">
        <w:rPr>
          <w:rFonts w:cs="Arial"/>
        </w:rPr>
        <w:softHyphen/>
      </w:r>
      <w:r w:rsidRPr="00B666C1">
        <w:rPr>
          <w:rFonts w:cs="Arial"/>
        </w:rPr>
        <w:t>steigen.</w:t>
      </w:r>
      <w:bookmarkEnd w:id="282"/>
      <w:bookmarkEnd w:id="283"/>
      <w:bookmarkEnd w:id="284"/>
      <w:bookmarkEnd w:id="285"/>
      <w:r w:rsidRPr="00B666C1">
        <w:rPr>
          <w:rFonts w:cs="Arial"/>
        </w:rPr>
        <w:t xml:space="preserve"> </w:t>
      </w:r>
    </w:p>
    <w:p w:rsidR="00585463" w:rsidRPr="00047CB2" w:rsidRDefault="00585463" w:rsidP="00B952A7">
      <w:pPr>
        <w:spacing w:line="276" w:lineRule="auto"/>
        <w:jc w:val="both"/>
        <w:rPr>
          <w:rFonts w:cs="Arial"/>
          <w:highlight w:val="yellow"/>
        </w:rPr>
      </w:pPr>
    </w:p>
    <w:p w:rsidR="00B91056" w:rsidRPr="00B666C1" w:rsidRDefault="00F05EF1" w:rsidP="00522714">
      <w:pPr>
        <w:shd w:val="clear" w:color="auto" w:fill="FBD4B4" w:themeFill="accent6" w:themeFillTint="66"/>
        <w:spacing w:line="276" w:lineRule="auto"/>
        <w:jc w:val="both"/>
        <w:rPr>
          <w:rFonts w:cs="Arial"/>
        </w:rPr>
      </w:pPr>
      <w:r w:rsidRPr="00B666C1">
        <w:rPr>
          <w:rFonts w:cs="Arial"/>
          <w:b/>
          <w:bCs/>
        </w:rPr>
        <w:t>TIPP</w:t>
      </w:r>
      <w:r w:rsidRPr="00B666C1">
        <w:rPr>
          <w:rFonts w:cs="Arial"/>
        </w:rPr>
        <w:t>: Bestimmte außergewöhnliche Belastungen (zB Behinderungen, Katastrophenschäden, Kosten der auswärtigen Berufsausbildung der Kinder) sind ohne Kürzung um einen Selbstbehalt absetzbar</w:t>
      </w:r>
      <w:r w:rsidR="00012658" w:rsidRPr="00B666C1">
        <w:rPr>
          <w:rFonts w:cs="Arial"/>
        </w:rPr>
        <w:t>.</w:t>
      </w:r>
      <w:r w:rsidR="00A04BAE" w:rsidRPr="00B666C1">
        <w:rPr>
          <w:rFonts w:cs="Arial"/>
        </w:rPr>
        <w:t xml:space="preserve"> </w:t>
      </w:r>
      <w:r w:rsidR="004D02E7">
        <w:rPr>
          <w:rFonts w:cs="Arial"/>
        </w:rPr>
        <w:t>Bedingt durch das</w:t>
      </w:r>
      <w:r w:rsidR="00A04BAE" w:rsidRPr="00B666C1">
        <w:rPr>
          <w:rFonts w:cs="Arial"/>
        </w:rPr>
        <w:t xml:space="preserve"> vermehrte </w:t>
      </w:r>
      <w:r w:rsidR="002D1681">
        <w:rPr>
          <w:rFonts w:cs="Arial"/>
        </w:rPr>
        <w:t>Auftreten</w:t>
      </w:r>
      <w:r w:rsidR="002D1681" w:rsidRPr="00B666C1">
        <w:rPr>
          <w:rFonts w:cs="Arial"/>
        </w:rPr>
        <w:t xml:space="preserve"> </w:t>
      </w:r>
      <w:r w:rsidR="00A04BAE" w:rsidRPr="00B666C1">
        <w:rPr>
          <w:rFonts w:cs="Arial"/>
        </w:rPr>
        <w:t>von Unwettern im Jahr 202</w:t>
      </w:r>
      <w:r w:rsidR="00B666C1" w:rsidRPr="00B666C1">
        <w:rPr>
          <w:rFonts w:cs="Arial"/>
        </w:rPr>
        <w:t>2</w:t>
      </w:r>
      <w:r w:rsidR="00A04BAE" w:rsidRPr="00B666C1">
        <w:rPr>
          <w:rFonts w:cs="Arial"/>
        </w:rPr>
        <w:t xml:space="preserve"> sind außergewöhnliche Belastungen im Zusammenhang mit Katastrophenschäden besonders zu beachten. Zu Katastrophenschäden zählen Kosten für die Beseitigung unmittelbarer Katastrophenschäden, die Kosten für Reparatur und Sanierung von beschädigten Gegenständen sowie Kosten für die Ersatzbeschaffung zerstörter Gegenstände.</w:t>
      </w:r>
    </w:p>
    <w:p w:rsidR="00B91056" w:rsidRPr="00B666C1" w:rsidRDefault="00B91056" w:rsidP="00B952A7">
      <w:pPr>
        <w:tabs>
          <w:tab w:val="left" w:pos="9072"/>
        </w:tabs>
        <w:spacing w:line="276" w:lineRule="auto"/>
        <w:rPr>
          <w:rFonts w:cs="Arial"/>
          <w:lang w:val="de-DE"/>
        </w:rPr>
      </w:pPr>
    </w:p>
    <w:p w:rsidR="007E5813" w:rsidRPr="00B666C1" w:rsidRDefault="00C60BFA" w:rsidP="00C60BFA">
      <w:pPr>
        <w:shd w:val="clear" w:color="auto" w:fill="B8CCE4" w:themeFill="accent1" w:themeFillTint="66"/>
      </w:pPr>
      <w:r w:rsidRPr="00C60BFA">
        <w:rPr>
          <w:b/>
          <w:bCs/>
          <w:shd w:val="clear" w:color="auto" w:fill="B8CCE4" w:themeFill="accent1" w:themeFillTint="66"/>
        </w:rPr>
        <w:t>Hinweis:</w:t>
      </w:r>
      <w:r w:rsidR="007E5813" w:rsidRPr="00B666C1">
        <w:t xml:space="preserve"> Krankheitskosten sind grundsätzlich von der erkrankten Person selbst zu tragen, wobei der er</w:t>
      </w:r>
      <w:r w:rsidR="003418D0" w:rsidRPr="00B666C1">
        <w:softHyphen/>
      </w:r>
      <w:r w:rsidR="007E5813" w:rsidRPr="00B666C1">
        <w:t>krank</w:t>
      </w:r>
      <w:r w:rsidR="003418D0" w:rsidRPr="00B666C1">
        <w:softHyphen/>
      </w:r>
      <w:r w:rsidR="007E5813" w:rsidRPr="00B666C1">
        <w:t>ten Person ein steuerfreies Existenzminimum von € 11.000 bleiben mus</w:t>
      </w:r>
      <w:r w:rsidR="00184530" w:rsidRPr="00B666C1">
        <w:t>s. Daher können Krankheitskosten vom (Ehe-)Partner übernommen und abgesetzt werden, wenn ohne Übernahme der Kosten das Einkommen des erkrankten (Ehe-)Partners unter das steuerliche Existenzminimum fallen würde.</w:t>
      </w:r>
    </w:p>
    <w:p w:rsidR="007E5813" w:rsidRDefault="007E5813" w:rsidP="00B952A7">
      <w:pPr>
        <w:tabs>
          <w:tab w:val="left" w:pos="9072"/>
        </w:tabs>
        <w:spacing w:line="276" w:lineRule="auto"/>
        <w:rPr>
          <w:rFonts w:cs="Arial"/>
          <w:lang w:val="de-DE"/>
        </w:rPr>
      </w:pPr>
    </w:p>
    <w:p w:rsidR="005349C1" w:rsidRPr="00B666C1" w:rsidRDefault="005349C1" w:rsidP="00B952A7">
      <w:pPr>
        <w:tabs>
          <w:tab w:val="left" w:pos="9072"/>
        </w:tabs>
        <w:spacing w:line="276" w:lineRule="auto"/>
        <w:rPr>
          <w:rFonts w:cs="Arial"/>
          <w:lang w:val="de-DE"/>
        </w:rPr>
      </w:pPr>
    </w:p>
    <w:p w:rsidR="00B91056" w:rsidRPr="007359AA" w:rsidRDefault="00752662" w:rsidP="007359AA">
      <w:pPr>
        <w:pStyle w:val="berschrift1"/>
        <w:rPr>
          <w:rFonts w:cs="Arial"/>
          <w:caps/>
          <w:color w:val="E36C0A" w:themeColor="accent6" w:themeShade="BF"/>
          <w:sz w:val="24"/>
          <w:szCs w:val="24"/>
          <w:u w:val="none"/>
        </w:rPr>
      </w:pPr>
      <w:bookmarkStart w:id="286" w:name="_Toc116494092"/>
      <w:bookmarkStart w:id="287" w:name="_Toc116923171"/>
      <w:r w:rsidRPr="007359AA">
        <w:rPr>
          <w:rStyle w:val="Hyperlink"/>
          <w:rFonts w:cs="Arial"/>
          <w:noProof/>
          <w:color w:val="auto"/>
          <w:sz w:val="24"/>
          <w:szCs w:val="24"/>
          <w:u w:val="none"/>
        </w:rPr>
        <w:t xml:space="preserve"> </w:t>
      </w:r>
      <w:r w:rsidR="00B91056" w:rsidRPr="007359AA">
        <w:rPr>
          <w:rFonts w:cs="Arial"/>
          <w:caps/>
          <w:color w:val="E36C0A" w:themeColor="accent6" w:themeShade="BF"/>
          <w:sz w:val="24"/>
          <w:szCs w:val="24"/>
          <w:u w:val="none"/>
        </w:rPr>
        <w:t>Wertpapierverluste realisieren</w:t>
      </w:r>
      <w:bookmarkEnd w:id="286"/>
      <w:bookmarkEnd w:id="287"/>
    </w:p>
    <w:p w:rsidR="00B91056" w:rsidRPr="00B666C1" w:rsidRDefault="00C66181" w:rsidP="007359AA">
      <w:pPr>
        <w:tabs>
          <w:tab w:val="left" w:pos="9214"/>
        </w:tabs>
        <w:spacing w:before="240" w:line="276" w:lineRule="auto"/>
        <w:jc w:val="both"/>
        <w:rPr>
          <w:rFonts w:cs="Arial"/>
          <w:lang w:val="de-DE"/>
        </w:rPr>
      </w:pPr>
      <w:r w:rsidRPr="00B666C1">
        <w:rPr>
          <w:rFonts w:cs="Arial"/>
        </w:rPr>
        <w:t xml:space="preserve">Für </w:t>
      </w:r>
      <w:r w:rsidR="00B91056" w:rsidRPr="00B666C1">
        <w:rPr>
          <w:rFonts w:cs="Arial"/>
        </w:rPr>
        <w:t xml:space="preserve">Gewinne von </w:t>
      </w:r>
      <w:r w:rsidR="00B91056" w:rsidRPr="00B666C1">
        <w:rPr>
          <w:rFonts w:cs="Arial"/>
          <w:b/>
          <w:lang w:val="de-DE"/>
        </w:rPr>
        <w:t>Verkäufen von sogenanntem „Neuvermögen“ im Jahr 20</w:t>
      </w:r>
      <w:r w:rsidR="00BB2252" w:rsidRPr="00B666C1">
        <w:rPr>
          <w:rFonts w:cs="Arial"/>
          <w:b/>
          <w:lang w:val="de-DE"/>
        </w:rPr>
        <w:t>2</w:t>
      </w:r>
      <w:r w:rsidR="00B666C1" w:rsidRPr="00B666C1">
        <w:rPr>
          <w:rFonts w:cs="Arial"/>
          <w:b/>
          <w:lang w:val="de-DE"/>
        </w:rPr>
        <w:t>2</w:t>
      </w:r>
      <w:r w:rsidR="00B91056" w:rsidRPr="00B666C1">
        <w:rPr>
          <w:rFonts w:cs="Arial"/>
          <w:b/>
          <w:lang w:val="de-DE"/>
        </w:rPr>
        <w:t xml:space="preserve"> </w:t>
      </w:r>
      <w:r w:rsidR="00B91056" w:rsidRPr="00B666C1">
        <w:rPr>
          <w:rFonts w:cs="Arial"/>
          <w:lang w:val="de-DE"/>
        </w:rPr>
        <w:t>fällt</w:t>
      </w:r>
      <w:r w:rsidR="00B91056" w:rsidRPr="00B666C1">
        <w:rPr>
          <w:rFonts w:cs="Arial"/>
          <w:b/>
          <w:lang w:val="de-DE"/>
        </w:rPr>
        <w:t xml:space="preserve"> </w:t>
      </w:r>
      <w:r w:rsidR="00B91056" w:rsidRPr="00B666C1">
        <w:rPr>
          <w:rFonts w:cs="Arial"/>
          <w:lang w:val="de-DE"/>
        </w:rPr>
        <w:t xml:space="preserve">die </w:t>
      </w:r>
      <w:r w:rsidR="00B91056" w:rsidRPr="00B666C1">
        <w:rPr>
          <w:rFonts w:cs="Arial"/>
          <w:b/>
          <w:lang w:val="de-DE"/>
        </w:rPr>
        <w:t xml:space="preserve">Wertpapiergewinnsteuer </w:t>
      </w:r>
      <w:r w:rsidR="008E0CDF" w:rsidRPr="00B666C1">
        <w:rPr>
          <w:rFonts w:cs="Arial"/>
          <w:b/>
          <w:lang w:val="de-DE"/>
        </w:rPr>
        <w:t>von</w:t>
      </w:r>
      <w:r w:rsidR="00B91056" w:rsidRPr="00B666C1">
        <w:rPr>
          <w:rFonts w:cs="Arial"/>
          <w:b/>
          <w:lang w:val="de-DE"/>
        </w:rPr>
        <w:t xml:space="preserve"> 27,5% an.</w:t>
      </w:r>
      <w:r w:rsidR="00B91056" w:rsidRPr="00B666C1">
        <w:rPr>
          <w:rFonts w:cs="Arial"/>
          <w:lang w:val="de-DE"/>
        </w:rPr>
        <w:t xml:space="preserve"> Zum „Neuvermögen“ zählen alle </w:t>
      </w:r>
      <w:r w:rsidR="00B91056" w:rsidRPr="00B666C1">
        <w:rPr>
          <w:rFonts w:cs="Arial"/>
        </w:rPr>
        <w:t xml:space="preserve">seit dem 1.1.2011 erworbenen Aktien und Investmentfonds sowie </w:t>
      </w:r>
      <w:r w:rsidR="00B91056" w:rsidRPr="00B666C1">
        <w:rPr>
          <w:rFonts w:cs="Arial"/>
          <w:b/>
          <w:lang w:val="de-DE"/>
        </w:rPr>
        <w:t>alle anderen ab dem 1.4.2012 entgeltlich erworbenen Kapitalanlagen</w:t>
      </w:r>
      <w:r w:rsidR="00B91056" w:rsidRPr="00B666C1">
        <w:rPr>
          <w:rFonts w:cs="Arial"/>
          <w:lang w:val="de-DE"/>
        </w:rPr>
        <w:t xml:space="preserve"> (insbe</w:t>
      </w:r>
      <w:r w:rsidR="00B91056" w:rsidRPr="00B666C1">
        <w:rPr>
          <w:rFonts w:cs="Arial"/>
          <w:lang w:val="de-DE"/>
        </w:rPr>
        <w:softHyphen/>
        <w:t>sondere Anleihen, Derivate).</w:t>
      </w:r>
      <w:r w:rsidR="00B666C1">
        <w:rPr>
          <w:rFonts w:cs="Arial"/>
          <w:lang w:val="de-DE"/>
        </w:rPr>
        <w:t xml:space="preserve"> Seit dem Jahr 2022 zählen auch erworbene Kryptowährungen, welche </w:t>
      </w:r>
      <w:r w:rsidR="002D1681">
        <w:rPr>
          <w:rFonts w:cs="Arial"/>
          <w:lang w:val="de-DE"/>
        </w:rPr>
        <w:t>n</w:t>
      </w:r>
      <w:r w:rsidR="00B666C1">
        <w:rPr>
          <w:rFonts w:cs="Arial"/>
          <w:lang w:val="de-DE"/>
        </w:rPr>
        <w:t>ach dem 31.3.2021 erworben wurden</w:t>
      </w:r>
      <w:r w:rsidR="002D1681">
        <w:rPr>
          <w:rFonts w:cs="Arial"/>
          <w:lang w:val="de-DE"/>
        </w:rPr>
        <w:t>,</w:t>
      </w:r>
      <w:r w:rsidR="00B666C1">
        <w:rPr>
          <w:rFonts w:cs="Arial"/>
          <w:lang w:val="de-DE"/>
        </w:rPr>
        <w:t xml:space="preserve"> </w:t>
      </w:r>
      <w:r w:rsidR="002D1681">
        <w:rPr>
          <w:rFonts w:cs="Arial"/>
          <w:lang w:val="de-DE"/>
        </w:rPr>
        <w:t xml:space="preserve">zum </w:t>
      </w:r>
      <w:r w:rsidR="00B666C1">
        <w:rPr>
          <w:rFonts w:cs="Arial"/>
          <w:lang w:val="de-DE"/>
        </w:rPr>
        <w:t>„Neuvermögen“ und sind</w:t>
      </w:r>
      <w:r w:rsidR="002D1681">
        <w:rPr>
          <w:rFonts w:cs="Arial"/>
          <w:lang w:val="de-DE"/>
        </w:rPr>
        <w:t xml:space="preserve"> Erträgnisse</w:t>
      </w:r>
      <w:r w:rsidR="00B666C1">
        <w:rPr>
          <w:rFonts w:cs="Arial"/>
          <w:lang w:val="de-DE"/>
        </w:rPr>
        <w:t xml:space="preserve"> </w:t>
      </w:r>
      <w:r w:rsidR="002D1681">
        <w:rPr>
          <w:rFonts w:cs="Arial"/>
          <w:lang w:val="de-DE"/>
        </w:rPr>
        <w:t xml:space="preserve">daraus </w:t>
      </w:r>
      <w:r w:rsidR="00B666C1">
        <w:rPr>
          <w:rFonts w:cs="Arial"/>
          <w:lang w:val="de-DE"/>
        </w:rPr>
        <w:t xml:space="preserve">mit </w:t>
      </w:r>
      <w:r w:rsidR="002D1681">
        <w:rPr>
          <w:rFonts w:cs="Arial"/>
          <w:lang w:val="de-DE"/>
        </w:rPr>
        <w:t xml:space="preserve">jenen </w:t>
      </w:r>
      <w:r w:rsidR="005349C1">
        <w:rPr>
          <w:rFonts w:cs="Arial"/>
          <w:lang w:val="de-DE"/>
        </w:rPr>
        <w:t xml:space="preserve">von </w:t>
      </w:r>
      <w:r w:rsidR="00B666C1">
        <w:rPr>
          <w:rFonts w:cs="Arial"/>
          <w:lang w:val="de-DE"/>
        </w:rPr>
        <w:t>andere</w:t>
      </w:r>
      <w:r w:rsidR="005349C1">
        <w:rPr>
          <w:rFonts w:cs="Arial"/>
          <w:lang w:val="de-DE"/>
        </w:rPr>
        <w:t>n</w:t>
      </w:r>
      <w:r w:rsidR="00B666C1">
        <w:rPr>
          <w:rFonts w:cs="Arial"/>
          <w:lang w:val="de-DE"/>
        </w:rPr>
        <w:t xml:space="preserve"> Kapitalanlagen verrechenbar.</w:t>
      </w:r>
    </w:p>
    <w:p w:rsidR="00585463" w:rsidRPr="00B666C1" w:rsidRDefault="00585463" w:rsidP="00B952A7">
      <w:pPr>
        <w:tabs>
          <w:tab w:val="left" w:pos="9072"/>
        </w:tabs>
        <w:spacing w:line="276" w:lineRule="auto"/>
        <w:jc w:val="both"/>
        <w:rPr>
          <w:rFonts w:cs="Arial"/>
          <w:lang w:val="de-DE"/>
        </w:rPr>
      </w:pPr>
    </w:p>
    <w:p w:rsidR="00F05EF1" w:rsidRPr="00B666C1" w:rsidRDefault="00F05EF1" w:rsidP="00522714">
      <w:pPr>
        <w:shd w:val="clear" w:color="auto" w:fill="FBD4B4" w:themeFill="accent6" w:themeFillTint="66"/>
        <w:spacing w:line="276" w:lineRule="auto"/>
        <w:rPr>
          <w:rFonts w:cs="Arial"/>
          <w:lang w:val="de-DE"/>
        </w:rPr>
      </w:pPr>
      <w:r w:rsidRPr="00B666C1">
        <w:rPr>
          <w:rFonts w:cs="Arial"/>
          <w:b/>
          <w:lang w:val="de-DE"/>
        </w:rPr>
        <w:t>TIPP</w:t>
      </w:r>
      <w:r w:rsidRPr="00B666C1">
        <w:rPr>
          <w:rFonts w:cs="Arial"/>
          <w:lang w:val="de-DE"/>
        </w:rPr>
        <w:t>: Verluste aus der Veräußerung dieser dem „Neuvermögen“ zuzurechnenden Kapitalanlagen können nicht nur mit Veräußerungsgewinnen, sondern auch mit Dividenden und Zinsen aus An</w:t>
      </w:r>
      <w:r w:rsidRPr="00B666C1">
        <w:rPr>
          <w:rFonts w:cs="Arial"/>
          <w:lang w:val="de-DE"/>
        </w:rPr>
        <w:softHyphen/>
        <w:t xml:space="preserve">leihen (nicht jedoch mit zB Sparbuchzinsen) ausgeglichen werden. </w:t>
      </w:r>
    </w:p>
    <w:p w:rsidR="00B91056" w:rsidRPr="00B666C1" w:rsidRDefault="00B91056" w:rsidP="00D1510C">
      <w:pPr>
        <w:tabs>
          <w:tab w:val="left" w:pos="9072"/>
        </w:tabs>
        <w:spacing w:line="276" w:lineRule="auto"/>
        <w:jc w:val="both"/>
        <w:rPr>
          <w:rFonts w:cs="Arial"/>
          <w:lang w:val="de-DE"/>
        </w:rPr>
      </w:pPr>
    </w:p>
    <w:p w:rsidR="00F05EF1" w:rsidRPr="005349C1" w:rsidRDefault="005349C1" w:rsidP="005349C1">
      <w:pPr>
        <w:shd w:val="clear" w:color="auto" w:fill="B8CCE4" w:themeFill="accent1" w:themeFillTint="66"/>
        <w:spacing w:line="276" w:lineRule="auto"/>
        <w:rPr>
          <w:rFonts w:cs="Arial"/>
        </w:rPr>
      </w:pPr>
      <w:r w:rsidRPr="005349C1">
        <w:rPr>
          <w:rFonts w:cs="Arial"/>
          <w:b/>
        </w:rPr>
        <w:t>Hinweis</w:t>
      </w:r>
      <w:r w:rsidR="00F05EF1" w:rsidRPr="005349C1">
        <w:rPr>
          <w:rFonts w:cs="Arial"/>
        </w:rPr>
        <w:t>: Wenn Sie bei verschiedenen Banken Wertpapierdepots oder zB mit Ihrer Ehefrau ein Gemein</w:t>
      </w:r>
      <w:r w:rsidR="003418D0" w:rsidRPr="005349C1">
        <w:rPr>
          <w:rFonts w:cs="Arial"/>
        </w:rPr>
        <w:softHyphen/>
      </w:r>
      <w:r w:rsidR="00F05EF1" w:rsidRPr="005349C1">
        <w:rPr>
          <w:rFonts w:cs="Arial"/>
        </w:rPr>
        <w:t>schafts</w:t>
      </w:r>
      <w:r w:rsidR="003418D0" w:rsidRPr="005349C1">
        <w:rPr>
          <w:rFonts w:cs="Arial"/>
        </w:rPr>
        <w:softHyphen/>
      </w:r>
      <w:r w:rsidR="00F05EF1" w:rsidRPr="005349C1">
        <w:rPr>
          <w:rFonts w:cs="Arial"/>
        </w:rPr>
        <w:t>depot haben, müssen Sie Bescheinig</w:t>
      </w:r>
      <w:r w:rsidR="00F05EF1" w:rsidRPr="005349C1">
        <w:rPr>
          <w:rFonts w:cs="Arial"/>
        </w:rPr>
        <w:softHyphen/>
        <w:t>ungen über den Verlustausgleich anfordern. Im Rahmen der Steuererklärungen können Sie dann eventuell bei einem Wertpapierdepot nicht verwertete Verluste mit den Einkünften aus dem anderen Wertpapierdepot ausgleichen.</w:t>
      </w:r>
    </w:p>
    <w:p w:rsidR="00B91056" w:rsidRPr="005349C1" w:rsidRDefault="00B91056" w:rsidP="005349C1">
      <w:pPr>
        <w:tabs>
          <w:tab w:val="left" w:pos="9072"/>
        </w:tabs>
        <w:spacing w:line="276" w:lineRule="auto"/>
        <w:rPr>
          <w:rFonts w:cs="Arial"/>
        </w:rPr>
      </w:pPr>
    </w:p>
    <w:p w:rsidR="00B91056" w:rsidRPr="007359AA" w:rsidRDefault="00B91056" w:rsidP="007359AA">
      <w:pPr>
        <w:pStyle w:val="berschrift1"/>
        <w:rPr>
          <w:rFonts w:cs="Arial"/>
          <w:caps/>
          <w:color w:val="E36C0A" w:themeColor="accent6" w:themeShade="BF"/>
          <w:sz w:val="24"/>
          <w:szCs w:val="24"/>
          <w:u w:val="none"/>
        </w:rPr>
      </w:pPr>
      <w:bookmarkStart w:id="288" w:name="_Toc306629786"/>
      <w:bookmarkStart w:id="289" w:name="_Toc306630580"/>
      <w:bookmarkStart w:id="290" w:name="_Toc306632207"/>
      <w:bookmarkStart w:id="291" w:name="_Toc116494093"/>
      <w:bookmarkStart w:id="292" w:name="_Toc116923172"/>
      <w:r w:rsidRPr="007359AA">
        <w:rPr>
          <w:rFonts w:cs="Arial"/>
          <w:caps/>
          <w:color w:val="E36C0A" w:themeColor="accent6" w:themeShade="BF"/>
          <w:sz w:val="24"/>
          <w:szCs w:val="24"/>
          <w:u w:val="none"/>
        </w:rPr>
        <w:t>Prämie für Zukunftsvorsorge und Bausparen auch 20</w:t>
      </w:r>
      <w:r w:rsidR="00BB2252" w:rsidRPr="007359AA">
        <w:rPr>
          <w:rFonts w:cs="Arial"/>
          <w:caps/>
          <w:color w:val="E36C0A" w:themeColor="accent6" w:themeShade="BF"/>
          <w:sz w:val="24"/>
          <w:szCs w:val="24"/>
          <w:u w:val="none"/>
        </w:rPr>
        <w:t>2</w:t>
      </w:r>
      <w:r w:rsidR="00B666C1" w:rsidRPr="007359AA">
        <w:rPr>
          <w:rFonts w:cs="Arial"/>
          <w:caps/>
          <w:color w:val="E36C0A" w:themeColor="accent6" w:themeShade="BF"/>
          <w:sz w:val="24"/>
          <w:szCs w:val="24"/>
          <w:u w:val="none"/>
        </w:rPr>
        <w:t>2</w:t>
      </w:r>
      <w:r w:rsidRPr="007359AA">
        <w:rPr>
          <w:rFonts w:cs="Arial"/>
          <w:caps/>
          <w:color w:val="E36C0A" w:themeColor="accent6" w:themeShade="BF"/>
          <w:sz w:val="24"/>
          <w:szCs w:val="24"/>
          <w:u w:val="none"/>
        </w:rPr>
        <w:t xml:space="preserve"> lukrieren</w:t>
      </w:r>
      <w:bookmarkEnd w:id="288"/>
      <w:bookmarkEnd w:id="289"/>
      <w:bookmarkEnd w:id="290"/>
      <w:bookmarkEnd w:id="291"/>
      <w:bookmarkEnd w:id="292"/>
    </w:p>
    <w:p w:rsidR="00B91056" w:rsidRDefault="00B91056" w:rsidP="00B952A7">
      <w:pPr>
        <w:tabs>
          <w:tab w:val="left" w:pos="9214"/>
        </w:tabs>
        <w:spacing w:line="276" w:lineRule="auto"/>
        <w:jc w:val="both"/>
        <w:rPr>
          <w:rFonts w:cs="Arial"/>
        </w:rPr>
      </w:pPr>
      <w:r w:rsidRPr="00B666C1">
        <w:rPr>
          <w:rFonts w:cs="Arial"/>
        </w:rPr>
        <w:t xml:space="preserve">Wer in die </w:t>
      </w:r>
      <w:r w:rsidRPr="00B666C1">
        <w:rPr>
          <w:rFonts w:cs="Arial"/>
          <w:b/>
        </w:rPr>
        <w:t>staatlich geförderte Zukunftsvorsorge</w:t>
      </w:r>
      <w:r w:rsidRPr="00B666C1">
        <w:rPr>
          <w:rFonts w:cs="Arial"/>
        </w:rPr>
        <w:t xml:space="preserve"> heuer noch mindestens</w:t>
      </w:r>
      <w:r w:rsidR="001A2805" w:rsidRPr="00B666C1">
        <w:rPr>
          <w:rFonts w:cs="Arial"/>
        </w:rPr>
        <w:t xml:space="preserve"> € </w:t>
      </w:r>
      <w:r w:rsidR="00F96CA0" w:rsidRPr="00B666C1">
        <w:rPr>
          <w:rFonts w:cs="Arial"/>
        </w:rPr>
        <w:t>3</w:t>
      </w:r>
      <w:r w:rsidR="00B666C1">
        <w:rPr>
          <w:rFonts w:cs="Arial"/>
        </w:rPr>
        <w:t>.123,04</w:t>
      </w:r>
      <w:r w:rsidR="001A2805" w:rsidRPr="00B666C1">
        <w:rPr>
          <w:rFonts w:cs="Arial"/>
        </w:rPr>
        <w:t xml:space="preserve"> </w:t>
      </w:r>
      <w:r w:rsidRPr="00B666C1">
        <w:rPr>
          <w:rFonts w:cs="Arial"/>
        </w:rPr>
        <w:t xml:space="preserve">investiert, erhält die mögliche </w:t>
      </w:r>
      <w:r w:rsidRPr="00B666C1">
        <w:rPr>
          <w:rFonts w:cs="Arial"/>
          <w:b/>
        </w:rPr>
        <w:t xml:space="preserve">Höchstprämie </w:t>
      </w:r>
      <w:r w:rsidRPr="00B666C1">
        <w:rPr>
          <w:rFonts w:cs="Arial"/>
        </w:rPr>
        <w:t>für 20</w:t>
      </w:r>
      <w:r w:rsidR="00BB2252" w:rsidRPr="00B666C1">
        <w:rPr>
          <w:rFonts w:cs="Arial"/>
        </w:rPr>
        <w:t>2</w:t>
      </w:r>
      <w:r w:rsidR="00B666C1">
        <w:rPr>
          <w:rFonts w:cs="Arial"/>
        </w:rPr>
        <w:t>2</w:t>
      </w:r>
      <w:r w:rsidRPr="00B666C1">
        <w:rPr>
          <w:rFonts w:cs="Arial"/>
        </w:rPr>
        <w:t xml:space="preserve"> </w:t>
      </w:r>
      <w:r w:rsidRPr="00B666C1">
        <w:rPr>
          <w:rFonts w:cs="Arial"/>
          <w:b/>
        </w:rPr>
        <w:t xml:space="preserve">von € </w:t>
      </w:r>
      <w:r w:rsidR="00F96CA0" w:rsidRPr="00B666C1">
        <w:rPr>
          <w:rFonts w:cs="Arial"/>
          <w:b/>
        </w:rPr>
        <w:t>1</w:t>
      </w:r>
      <w:r w:rsidR="00B666C1">
        <w:rPr>
          <w:rFonts w:cs="Arial"/>
          <w:b/>
        </w:rPr>
        <w:t>32</w:t>
      </w:r>
      <w:r w:rsidR="00F96CA0" w:rsidRPr="00B666C1">
        <w:rPr>
          <w:rFonts w:cs="Arial"/>
          <w:b/>
        </w:rPr>
        <w:t>,</w:t>
      </w:r>
      <w:r w:rsidR="00B666C1">
        <w:rPr>
          <w:rFonts w:cs="Arial"/>
          <w:b/>
        </w:rPr>
        <w:t>73</w:t>
      </w:r>
      <w:r w:rsidR="001A2805" w:rsidRPr="00B666C1">
        <w:rPr>
          <w:rFonts w:cs="Arial"/>
          <w:b/>
        </w:rPr>
        <w:t>.</w:t>
      </w:r>
      <w:r w:rsidRPr="00B666C1">
        <w:rPr>
          <w:rFonts w:cs="Arial"/>
        </w:rPr>
        <w:t xml:space="preserve"> </w:t>
      </w:r>
      <w:r w:rsidR="000C718A" w:rsidRPr="00B666C1">
        <w:rPr>
          <w:rFonts w:cs="Arial"/>
        </w:rPr>
        <w:t xml:space="preserve">Jene </w:t>
      </w:r>
      <w:r w:rsidRPr="00B666C1">
        <w:rPr>
          <w:rFonts w:cs="Arial"/>
        </w:rPr>
        <w:t xml:space="preserve">Personen, die bereits die gesetzliche Alterspension beziehen, sind von der Förderung ausgenommen. Als </w:t>
      </w:r>
      <w:r w:rsidRPr="00B666C1">
        <w:rPr>
          <w:rFonts w:cs="Arial"/>
          <w:b/>
        </w:rPr>
        <w:t>Bausparprämie</w:t>
      </w:r>
      <w:r w:rsidRPr="00B666C1">
        <w:rPr>
          <w:rFonts w:cs="Arial"/>
        </w:rPr>
        <w:t xml:space="preserve"> kann unverändert für den maximal geförderten </w:t>
      </w:r>
      <w:r w:rsidRPr="00B666C1">
        <w:rPr>
          <w:rFonts w:cs="Arial"/>
          <w:b/>
        </w:rPr>
        <w:t xml:space="preserve">Einzahlungsbetrag von € 1.200 </w:t>
      </w:r>
      <w:r w:rsidRPr="00B666C1">
        <w:rPr>
          <w:rFonts w:cs="Arial"/>
        </w:rPr>
        <w:t xml:space="preserve">pro Jahr noch ein Betrag von </w:t>
      </w:r>
      <w:r w:rsidRPr="00B666C1">
        <w:rPr>
          <w:rFonts w:cs="Arial"/>
          <w:b/>
        </w:rPr>
        <w:t>€</w:t>
      </w:r>
      <w:r w:rsidRPr="00B666C1">
        <w:rPr>
          <w:rFonts w:cs="Arial"/>
        </w:rPr>
        <w:t xml:space="preserve"> </w:t>
      </w:r>
      <w:r w:rsidRPr="00B666C1">
        <w:rPr>
          <w:rFonts w:cs="Arial"/>
          <w:b/>
        </w:rPr>
        <w:t xml:space="preserve">18 </w:t>
      </w:r>
      <w:r w:rsidRPr="00B666C1">
        <w:rPr>
          <w:rFonts w:cs="Arial"/>
        </w:rPr>
        <w:t>lukriert werden.</w:t>
      </w:r>
      <w:r w:rsidRPr="00D101C1">
        <w:rPr>
          <w:rFonts w:cs="Arial"/>
        </w:rPr>
        <w:t xml:space="preserve"> </w:t>
      </w:r>
    </w:p>
    <w:sectPr w:rsidR="00B91056" w:rsidSect="00055CAA">
      <w:headerReference w:type="even" r:id="rId9"/>
      <w:headerReference w:type="default" r:id="rId10"/>
      <w:footerReference w:type="even" r:id="rId11"/>
      <w:footerReference w:type="default" r:id="rId12"/>
      <w:headerReference w:type="first" r:id="rId13"/>
      <w:footerReference w:type="first" r:id="rId14"/>
      <w:pgSz w:w="11907" w:h="16840" w:code="9"/>
      <w:pgMar w:top="1418" w:right="1275" w:bottom="1134" w:left="1418"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E93" w:rsidRDefault="00AB3E93">
      <w:r>
        <w:separator/>
      </w:r>
    </w:p>
  </w:endnote>
  <w:endnote w:type="continuationSeparator" w:id="0">
    <w:p w:rsidR="00AB3E93" w:rsidRDefault="00AB3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Condense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PCL6)">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NewBskvll B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roxima-nova">
    <w:altName w:val="Calibri"/>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421" w:rsidRDefault="007F3421" w:rsidP="00B91056">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rsidR="007F3421" w:rsidRDefault="007F3421" w:rsidP="00B91056">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421" w:rsidRPr="00922838" w:rsidRDefault="007F3421" w:rsidP="007F3421">
    <w:pPr>
      <w:pStyle w:val="Fuzeile"/>
      <w:tabs>
        <w:tab w:val="clear" w:pos="9072"/>
        <w:tab w:val="right" w:pos="9356"/>
      </w:tabs>
      <w:ind w:left="3252" w:right="-142" w:firstLine="3828"/>
      <w:rPr>
        <w:sz w:val="16"/>
        <w:szCs w:val="16"/>
      </w:rPr>
    </w:pPr>
    <w:r w:rsidRPr="0065493D">
      <w:rPr>
        <w:sz w:val="16"/>
        <w:szCs w:val="16"/>
      </w:rPr>
      <w:t xml:space="preserve">                                    </w:t>
    </w:r>
    <w:r>
      <w:rPr>
        <w:sz w:val="16"/>
        <w:szCs w:val="16"/>
      </w:rPr>
      <w:t xml:space="preserve"> </w:t>
    </w:r>
    <w:r w:rsidRPr="0065493D">
      <w:rPr>
        <w:sz w:val="16"/>
        <w:szCs w:val="16"/>
      </w:rPr>
      <w:t xml:space="preserve"> </w:t>
    </w:r>
    <w:r w:rsidRPr="0065493D">
      <w:rPr>
        <w:sz w:val="16"/>
        <w:szCs w:val="16"/>
        <w:lang w:val="de-DE"/>
      </w:rPr>
      <w:t xml:space="preserve"> </w:t>
    </w:r>
    <w:r w:rsidRPr="0065493D">
      <w:rPr>
        <w:bCs/>
        <w:sz w:val="16"/>
        <w:szCs w:val="16"/>
      </w:rPr>
      <w:fldChar w:fldCharType="begin"/>
    </w:r>
    <w:r w:rsidRPr="0065493D">
      <w:rPr>
        <w:bCs/>
        <w:sz w:val="16"/>
        <w:szCs w:val="16"/>
      </w:rPr>
      <w:instrText>PAGE  \* Arabic  \* MERGEFORMAT</w:instrText>
    </w:r>
    <w:r w:rsidRPr="0065493D">
      <w:rPr>
        <w:bCs/>
        <w:sz w:val="16"/>
        <w:szCs w:val="16"/>
      </w:rPr>
      <w:fldChar w:fldCharType="separate"/>
    </w:r>
    <w:r w:rsidR="00B74060" w:rsidRPr="00B74060">
      <w:rPr>
        <w:bCs/>
        <w:noProof/>
        <w:sz w:val="16"/>
        <w:szCs w:val="16"/>
        <w:lang w:val="de-DE"/>
      </w:rPr>
      <w:t>2</w:t>
    </w:r>
    <w:r w:rsidRPr="0065493D">
      <w:rPr>
        <w:bCs/>
        <w:sz w:val="16"/>
        <w:szCs w:val="16"/>
      </w:rPr>
      <w:fldChar w:fldCharType="end"/>
    </w:r>
    <w:r w:rsidRPr="0065493D">
      <w:rPr>
        <w:sz w:val="16"/>
        <w:szCs w:val="16"/>
        <w:lang w:val="de-DE"/>
      </w:rPr>
      <w:t>/</w:t>
    </w:r>
    <w:r w:rsidRPr="0065493D">
      <w:rPr>
        <w:bCs/>
        <w:sz w:val="16"/>
        <w:szCs w:val="16"/>
      </w:rPr>
      <w:fldChar w:fldCharType="begin"/>
    </w:r>
    <w:r w:rsidRPr="0065493D">
      <w:rPr>
        <w:bCs/>
        <w:sz w:val="16"/>
        <w:szCs w:val="16"/>
      </w:rPr>
      <w:instrText>NUMPAGES  \* Arabic  \* MERGEFORMAT</w:instrText>
    </w:r>
    <w:r w:rsidRPr="0065493D">
      <w:rPr>
        <w:bCs/>
        <w:sz w:val="16"/>
        <w:szCs w:val="16"/>
      </w:rPr>
      <w:fldChar w:fldCharType="separate"/>
    </w:r>
    <w:r w:rsidR="00B74060" w:rsidRPr="00B74060">
      <w:rPr>
        <w:bCs/>
        <w:noProof/>
        <w:sz w:val="16"/>
        <w:szCs w:val="16"/>
        <w:lang w:val="de-DE"/>
      </w:rPr>
      <w:t>19</w:t>
    </w:r>
    <w:r w:rsidRPr="0065493D">
      <w:rPr>
        <w:bCs/>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421" w:rsidRPr="00F9548A" w:rsidRDefault="007F3421">
    <w:pPr>
      <w:pStyle w:val="Fuzeile"/>
      <w:rPr>
        <w:sz w:val="16"/>
        <w:szCs w:val="16"/>
      </w:rPr>
    </w:pPr>
    <w:r>
      <w:rPr>
        <w:sz w:val="14"/>
        <w:szCs w:val="14"/>
      </w:rPr>
      <w:t xml:space="preserve">Hinweis: Wir haben die vorliegende Klienten-Info mit größtmöglicher Sorgfalt erstellt, bitten aber um Verständnis dafür, dass sie weder eine persönliche Beratung ersetzen kann noch dass wir irgendeine Haftung für deren Inhalt übernehmen können.                                           </w:t>
    </w:r>
    <w:r>
      <w:rPr>
        <w:sz w:val="14"/>
        <w:szCs w:val="14"/>
      </w:rPr>
      <w:tab/>
    </w:r>
    <w:r w:rsidRPr="00F9548A">
      <w:rPr>
        <w:sz w:val="16"/>
        <w:szCs w:val="16"/>
      </w:rPr>
      <w:t>1/18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E93" w:rsidRDefault="00AB3E93">
      <w:r>
        <w:separator/>
      </w:r>
    </w:p>
  </w:footnote>
  <w:footnote w:type="continuationSeparator" w:id="0">
    <w:p w:rsidR="00AB3E93" w:rsidRDefault="00AB3E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143" w:rsidRDefault="00EC314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143" w:rsidRDefault="00EC3143">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6" w:space="0" w:color="auto"/>
      </w:tblBorders>
      <w:tblLayout w:type="fixed"/>
      <w:tblCellMar>
        <w:left w:w="70" w:type="dxa"/>
        <w:right w:w="70" w:type="dxa"/>
      </w:tblCellMar>
      <w:tblLook w:val="0000" w:firstRow="0" w:lastRow="0" w:firstColumn="0" w:lastColumn="0" w:noHBand="0" w:noVBand="0"/>
    </w:tblPr>
    <w:tblGrid>
      <w:gridCol w:w="4323"/>
      <w:gridCol w:w="1102"/>
      <w:gridCol w:w="3785"/>
    </w:tblGrid>
    <w:tr w:rsidR="007F3421" w:rsidRPr="007F3421" w:rsidTr="007F3421">
      <w:trPr>
        <w:trHeight w:val="1094"/>
      </w:trPr>
      <w:tc>
        <w:tcPr>
          <w:tcW w:w="4323" w:type="dxa"/>
        </w:tcPr>
        <w:p w:rsidR="007F3421" w:rsidRPr="007F3421" w:rsidRDefault="007F3421" w:rsidP="007F3421">
          <w:pPr>
            <w:tabs>
              <w:tab w:val="center" w:pos="4536"/>
              <w:tab w:val="right" w:pos="9072"/>
            </w:tabs>
            <w:overflowPunct w:val="0"/>
            <w:autoSpaceDE w:val="0"/>
            <w:autoSpaceDN w:val="0"/>
            <w:adjustRightInd w:val="0"/>
            <w:spacing w:after="80" w:line="240" w:lineRule="atLeast"/>
            <w:jc w:val="center"/>
            <w:textAlignment w:val="baseline"/>
            <w:rPr>
              <w:rFonts w:ascii="Times New Roman" w:hAnsi="Times New Roman"/>
              <w:sz w:val="28"/>
              <w:lang w:val="de-DE"/>
            </w:rPr>
          </w:pPr>
        </w:p>
      </w:tc>
      <w:tc>
        <w:tcPr>
          <w:tcW w:w="1102" w:type="dxa"/>
        </w:tcPr>
        <w:p w:rsidR="007F3421" w:rsidRPr="007F3421" w:rsidRDefault="007F3421" w:rsidP="007F3421">
          <w:pPr>
            <w:tabs>
              <w:tab w:val="center" w:pos="4536"/>
              <w:tab w:val="right" w:pos="9072"/>
            </w:tabs>
            <w:overflowPunct w:val="0"/>
            <w:autoSpaceDE w:val="0"/>
            <w:autoSpaceDN w:val="0"/>
            <w:adjustRightInd w:val="0"/>
            <w:spacing w:after="80" w:line="240" w:lineRule="atLeast"/>
            <w:textAlignment w:val="baseline"/>
            <w:rPr>
              <w:rFonts w:ascii="Times New Roman" w:hAnsi="Times New Roman"/>
              <w:sz w:val="28"/>
              <w:lang w:val="de-DE"/>
            </w:rPr>
          </w:pPr>
        </w:p>
      </w:tc>
      <w:tc>
        <w:tcPr>
          <w:tcW w:w="3785" w:type="dxa"/>
        </w:tcPr>
        <w:p w:rsidR="007F3421" w:rsidRPr="007F3421" w:rsidRDefault="007F3421" w:rsidP="007F3421">
          <w:pPr>
            <w:tabs>
              <w:tab w:val="center" w:pos="4536"/>
              <w:tab w:val="right" w:pos="9072"/>
            </w:tabs>
            <w:overflowPunct w:val="0"/>
            <w:autoSpaceDE w:val="0"/>
            <w:autoSpaceDN w:val="0"/>
            <w:adjustRightInd w:val="0"/>
            <w:spacing w:after="80" w:line="240" w:lineRule="atLeast"/>
            <w:textAlignment w:val="baseline"/>
            <w:rPr>
              <w:rFonts w:ascii="Times New Roman" w:hAnsi="Times New Roman"/>
              <w:sz w:val="28"/>
              <w:lang w:val="de-DE"/>
            </w:rPr>
          </w:pPr>
        </w:p>
      </w:tc>
    </w:tr>
  </w:tbl>
  <w:p w:rsidR="007F3421" w:rsidRDefault="007F342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26282A44"/>
    <w:lvl w:ilvl="0">
      <w:start w:val="1"/>
      <w:numFmt w:val="bullet"/>
      <w:pStyle w:val="BDOAufzhlungszeichen2"/>
      <w:lvlText w:val=""/>
      <w:lvlJc w:val="left"/>
      <w:pPr>
        <w:tabs>
          <w:tab w:val="num" w:pos="926"/>
        </w:tabs>
        <w:ind w:left="926" w:hanging="360"/>
      </w:pPr>
      <w:rPr>
        <w:rFonts w:ascii="Symbol" w:hAnsi="Symbol" w:hint="default"/>
      </w:rPr>
    </w:lvl>
  </w:abstractNum>
  <w:abstractNum w:abstractNumId="1">
    <w:nsid w:val="0420617C"/>
    <w:multiLevelType w:val="hybridMultilevel"/>
    <w:tmpl w:val="6106B308"/>
    <w:lvl w:ilvl="0" w:tplc="0C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F612B32"/>
    <w:multiLevelType w:val="hybridMultilevel"/>
    <w:tmpl w:val="9B2A1B7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12AF6DD9"/>
    <w:multiLevelType w:val="hybridMultilevel"/>
    <w:tmpl w:val="901C17A0"/>
    <w:lvl w:ilvl="0" w:tplc="0C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3611821"/>
    <w:multiLevelType w:val="hybridMultilevel"/>
    <w:tmpl w:val="D9C04B84"/>
    <w:lvl w:ilvl="0" w:tplc="3C46AB50">
      <w:numFmt w:val="bullet"/>
      <w:lvlText w:val="-"/>
      <w:lvlJc w:val="left"/>
      <w:pPr>
        <w:ind w:left="720" w:hanging="360"/>
      </w:pPr>
      <w:rPr>
        <w:rFonts w:ascii="Arial" w:eastAsia="Univers Condensed"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1AC52150"/>
    <w:multiLevelType w:val="hybridMultilevel"/>
    <w:tmpl w:val="9ECEC3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1ACE7CBE"/>
    <w:multiLevelType w:val="hybridMultilevel"/>
    <w:tmpl w:val="D57A6C1A"/>
    <w:lvl w:ilvl="0" w:tplc="96D4EE08">
      <w:start w:val="2"/>
      <w:numFmt w:val="decimal"/>
      <w:lvlText w:val="%1."/>
      <w:lvlJc w:val="left"/>
      <w:pPr>
        <w:tabs>
          <w:tab w:val="num" w:pos="360"/>
        </w:tabs>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nsid w:val="1BFD7300"/>
    <w:multiLevelType w:val="hybridMultilevel"/>
    <w:tmpl w:val="EAAEC716"/>
    <w:lvl w:ilvl="0" w:tplc="0C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1D7A7AA8"/>
    <w:multiLevelType w:val="multilevel"/>
    <w:tmpl w:val="BB8EAE1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70826BE"/>
    <w:multiLevelType w:val="hybridMultilevel"/>
    <w:tmpl w:val="1BE2130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34561800"/>
    <w:multiLevelType w:val="hybridMultilevel"/>
    <w:tmpl w:val="CF86CC8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41064EB2"/>
    <w:multiLevelType w:val="hybridMultilevel"/>
    <w:tmpl w:val="8690EB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48605CD1"/>
    <w:multiLevelType w:val="multilevel"/>
    <w:tmpl w:val="DFDA2B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E58468E"/>
    <w:multiLevelType w:val="hybridMultilevel"/>
    <w:tmpl w:val="D8CCAB98"/>
    <w:lvl w:ilvl="0" w:tplc="0C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525260E0"/>
    <w:multiLevelType w:val="multilevel"/>
    <w:tmpl w:val="84D681A0"/>
    <w:lvl w:ilvl="0">
      <w:start w:val="10"/>
      <w:numFmt w:val="decimal"/>
      <w:lvlText w:val="%1"/>
      <w:lvlJc w:val="left"/>
      <w:pPr>
        <w:ind w:left="375" w:hanging="375"/>
      </w:pPr>
      <w:rPr>
        <w:rFonts w:hint="default"/>
      </w:rPr>
    </w:lvl>
    <w:lvl w:ilvl="1">
      <w:start w:val="1"/>
      <w:numFmt w:val="decimal"/>
      <w:lvlText w:val="%1.%2"/>
      <w:lvlJc w:val="left"/>
      <w:pPr>
        <w:ind w:left="1176" w:hanging="375"/>
      </w:pPr>
      <w:rPr>
        <w:rFonts w:hint="default"/>
      </w:rPr>
    </w:lvl>
    <w:lvl w:ilvl="2">
      <w:start w:val="1"/>
      <w:numFmt w:val="decimal"/>
      <w:lvlText w:val="%1.%2.%3"/>
      <w:lvlJc w:val="left"/>
      <w:pPr>
        <w:ind w:left="2322" w:hanging="720"/>
      </w:pPr>
      <w:rPr>
        <w:rFonts w:hint="default"/>
      </w:rPr>
    </w:lvl>
    <w:lvl w:ilvl="3">
      <w:start w:val="1"/>
      <w:numFmt w:val="decimal"/>
      <w:lvlText w:val="%1.%2.%3.%4"/>
      <w:lvlJc w:val="left"/>
      <w:pPr>
        <w:ind w:left="3123" w:hanging="720"/>
      </w:pPr>
      <w:rPr>
        <w:rFonts w:hint="default"/>
      </w:rPr>
    </w:lvl>
    <w:lvl w:ilvl="4">
      <w:start w:val="1"/>
      <w:numFmt w:val="decimal"/>
      <w:lvlText w:val="%1.%2.%3.%4.%5"/>
      <w:lvlJc w:val="left"/>
      <w:pPr>
        <w:ind w:left="4284" w:hanging="1080"/>
      </w:pPr>
      <w:rPr>
        <w:rFonts w:hint="default"/>
      </w:rPr>
    </w:lvl>
    <w:lvl w:ilvl="5">
      <w:start w:val="1"/>
      <w:numFmt w:val="decimal"/>
      <w:lvlText w:val="%1.%2.%3.%4.%5.%6"/>
      <w:lvlJc w:val="left"/>
      <w:pPr>
        <w:ind w:left="5085" w:hanging="1080"/>
      </w:pPr>
      <w:rPr>
        <w:rFonts w:hint="default"/>
      </w:rPr>
    </w:lvl>
    <w:lvl w:ilvl="6">
      <w:start w:val="1"/>
      <w:numFmt w:val="decimal"/>
      <w:lvlText w:val="%1.%2.%3.%4.%5.%6.%7"/>
      <w:lvlJc w:val="left"/>
      <w:pPr>
        <w:ind w:left="6246" w:hanging="1440"/>
      </w:pPr>
      <w:rPr>
        <w:rFonts w:hint="default"/>
      </w:rPr>
    </w:lvl>
    <w:lvl w:ilvl="7">
      <w:start w:val="1"/>
      <w:numFmt w:val="decimal"/>
      <w:lvlText w:val="%1.%2.%3.%4.%5.%6.%7.%8"/>
      <w:lvlJc w:val="left"/>
      <w:pPr>
        <w:ind w:left="7047" w:hanging="1440"/>
      </w:pPr>
      <w:rPr>
        <w:rFonts w:hint="default"/>
      </w:rPr>
    </w:lvl>
    <w:lvl w:ilvl="8">
      <w:start w:val="1"/>
      <w:numFmt w:val="decimal"/>
      <w:lvlText w:val="%1.%2.%3.%4.%5.%6.%7.%8.%9"/>
      <w:lvlJc w:val="left"/>
      <w:pPr>
        <w:ind w:left="8208" w:hanging="1800"/>
      </w:pPr>
      <w:rPr>
        <w:rFonts w:hint="default"/>
      </w:rPr>
    </w:lvl>
  </w:abstractNum>
  <w:abstractNum w:abstractNumId="15">
    <w:nsid w:val="53F53769"/>
    <w:multiLevelType w:val="hybridMultilevel"/>
    <w:tmpl w:val="E85EE286"/>
    <w:lvl w:ilvl="0" w:tplc="0C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57C30B25"/>
    <w:multiLevelType w:val="hybridMultilevel"/>
    <w:tmpl w:val="5CE8A67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5A7F7C48"/>
    <w:multiLevelType w:val="multilevel"/>
    <w:tmpl w:val="605E6B28"/>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1002"/>
        </w:tabs>
        <w:ind w:left="1002"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18">
    <w:nsid w:val="5B133E63"/>
    <w:multiLevelType w:val="hybridMultilevel"/>
    <w:tmpl w:val="318C2568"/>
    <w:lvl w:ilvl="0" w:tplc="0C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6AC85384"/>
    <w:multiLevelType w:val="hybridMultilevel"/>
    <w:tmpl w:val="51F80A36"/>
    <w:lvl w:ilvl="0" w:tplc="0C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nsid w:val="6D854D18"/>
    <w:multiLevelType w:val="hybridMultilevel"/>
    <w:tmpl w:val="AA4A50F2"/>
    <w:lvl w:ilvl="0" w:tplc="D806193C">
      <w:start w:val="1"/>
      <w:numFmt w:val="bullet"/>
      <w:lvlText w:val="-"/>
      <w:lvlJc w:val="left"/>
      <w:pPr>
        <w:ind w:left="1146" w:hanging="360"/>
      </w:pPr>
      <w:rPr>
        <w:rFonts w:ascii="Arial" w:hAnsi="Aria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21">
    <w:nsid w:val="6ED942C9"/>
    <w:multiLevelType w:val="hybridMultilevel"/>
    <w:tmpl w:val="AF4A4560"/>
    <w:lvl w:ilvl="0" w:tplc="0C070001">
      <w:start w:val="1"/>
      <w:numFmt w:val="bullet"/>
      <w:lvlText w:val=""/>
      <w:lvlJc w:val="left"/>
      <w:pPr>
        <w:tabs>
          <w:tab w:val="num" w:pos="1572"/>
        </w:tabs>
        <w:ind w:left="1572" w:hanging="360"/>
      </w:pPr>
      <w:rPr>
        <w:rFonts w:ascii="Symbol" w:hAnsi="Symbol" w:hint="default"/>
      </w:rPr>
    </w:lvl>
    <w:lvl w:ilvl="1" w:tplc="3C46AB50">
      <w:numFmt w:val="bullet"/>
      <w:lvlText w:val="-"/>
      <w:lvlJc w:val="left"/>
      <w:pPr>
        <w:tabs>
          <w:tab w:val="num" w:pos="2292"/>
        </w:tabs>
        <w:ind w:left="2292" w:hanging="360"/>
      </w:pPr>
      <w:rPr>
        <w:rFonts w:ascii="Arial" w:eastAsia="Univers Condensed" w:hAnsi="Arial" w:cs="Arial" w:hint="default"/>
      </w:rPr>
    </w:lvl>
    <w:lvl w:ilvl="2" w:tplc="0407001B" w:tentative="1">
      <w:start w:val="1"/>
      <w:numFmt w:val="lowerRoman"/>
      <w:lvlText w:val="%3."/>
      <w:lvlJc w:val="right"/>
      <w:pPr>
        <w:tabs>
          <w:tab w:val="num" w:pos="3012"/>
        </w:tabs>
        <w:ind w:left="3012" w:hanging="180"/>
      </w:pPr>
    </w:lvl>
    <w:lvl w:ilvl="3" w:tplc="0407000F" w:tentative="1">
      <w:start w:val="1"/>
      <w:numFmt w:val="decimal"/>
      <w:lvlText w:val="%4."/>
      <w:lvlJc w:val="left"/>
      <w:pPr>
        <w:tabs>
          <w:tab w:val="num" w:pos="3732"/>
        </w:tabs>
        <w:ind w:left="3732" w:hanging="360"/>
      </w:pPr>
    </w:lvl>
    <w:lvl w:ilvl="4" w:tplc="04070019" w:tentative="1">
      <w:start w:val="1"/>
      <w:numFmt w:val="lowerLetter"/>
      <w:lvlText w:val="%5."/>
      <w:lvlJc w:val="left"/>
      <w:pPr>
        <w:tabs>
          <w:tab w:val="num" w:pos="4452"/>
        </w:tabs>
        <w:ind w:left="4452" w:hanging="360"/>
      </w:pPr>
    </w:lvl>
    <w:lvl w:ilvl="5" w:tplc="0407001B" w:tentative="1">
      <w:start w:val="1"/>
      <w:numFmt w:val="lowerRoman"/>
      <w:lvlText w:val="%6."/>
      <w:lvlJc w:val="right"/>
      <w:pPr>
        <w:tabs>
          <w:tab w:val="num" w:pos="5172"/>
        </w:tabs>
        <w:ind w:left="5172" w:hanging="180"/>
      </w:pPr>
    </w:lvl>
    <w:lvl w:ilvl="6" w:tplc="0407000F" w:tentative="1">
      <w:start w:val="1"/>
      <w:numFmt w:val="decimal"/>
      <w:lvlText w:val="%7."/>
      <w:lvlJc w:val="left"/>
      <w:pPr>
        <w:tabs>
          <w:tab w:val="num" w:pos="5892"/>
        </w:tabs>
        <w:ind w:left="5892" w:hanging="360"/>
      </w:pPr>
    </w:lvl>
    <w:lvl w:ilvl="7" w:tplc="04070019" w:tentative="1">
      <w:start w:val="1"/>
      <w:numFmt w:val="lowerLetter"/>
      <w:lvlText w:val="%8."/>
      <w:lvlJc w:val="left"/>
      <w:pPr>
        <w:tabs>
          <w:tab w:val="num" w:pos="6612"/>
        </w:tabs>
        <w:ind w:left="6612" w:hanging="360"/>
      </w:pPr>
    </w:lvl>
    <w:lvl w:ilvl="8" w:tplc="0407001B" w:tentative="1">
      <w:start w:val="1"/>
      <w:numFmt w:val="lowerRoman"/>
      <w:lvlText w:val="%9."/>
      <w:lvlJc w:val="right"/>
      <w:pPr>
        <w:tabs>
          <w:tab w:val="num" w:pos="7332"/>
        </w:tabs>
        <w:ind w:left="7332" w:hanging="180"/>
      </w:pPr>
    </w:lvl>
  </w:abstractNum>
  <w:num w:numId="1">
    <w:abstractNumId w:val="17"/>
  </w:num>
  <w:num w:numId="2">
    <w:abstractNumId w:val="0"/>
  </w:num>
  <w:num w:numId="3">
    <w:abstractNumId w:val="21"/>
  </w:num>
  <w:num w:numId="4">
    <w:abstractNumId w:val="8"/>
  </w:num>
  <w:num w:numId="5">
    <w:abstractNumId w:val="16"/>
  </w:num>
  <w:num w:numId="6">
    <w:abstractNumId w:val="9"/>
  </w:num>
  <w:num w:numId="7">
    <w:abstractNumId w:val="2"/>
  </w:num>
  <w:num w:numId="8">
    <w:abstractNumId w:val="4"/>
  </w:num>
  <w:num w:numId="9">
    <w:abstractNumId w:val="10"/>
  </w:num>
  <w:num w:numId="10">
    <w:abstractNumId w:val="12"/>
  </w:num>
  <w:num w:numId="11">
    <w:abstractNumId w:val="11"/>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6"/>
  </w:num>
  <w:num w:numId="15">
    <w:abstractNumId w:val="20"/>
  </w:num>
  <w:num w:numId="16">
    <w:abstractNumId w:val="14"/>
  </w:num>
  <w:num w:numId="17">
    <w:abstractNumId w:val="15"/>
  </w:num>
  <w:num w:numId="18">
    <w:abstractNumId w:val="19"/>
  </w:num>
  <w:num w:numId="19">
    <w:abstractNumId w:val="1"/>
  </w:num>
  <w:num w:numId="20">
    <w:abstractNumId w:val="13"/>
  </w:num>
  <w:num w:numId="21">
    <w:abstractNumId w:val="3"/>
  </w:num>
  <w:num w:numId="22">
    <w:abstractNumId w:val="7"/>
  </w:num>
  <w:num w:numId="23">
    <w:abstractNumId w:val="18"/>
  </w:num>
  <w:num w:numId="24">
    <w:abstractNumId w:val="17"/>
    <w:lvlOverride w:ilvl="0">
      <w:startOverride w:val="1"/>
    </w:lvlOverride>
  </w:num>
  <w:num w:numId="25">
    <w:abstractNumId w:val="17"/>
    <w:lvlOverride w:ilvl="0">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056"/>
    <w:rsid w:val="00004C39"/>
    <w:rsid w:val="00012658"/>
    <w:rsid w:val="00014D6D"/>
    <w:rsid w:val="00020358"/>
    <w:rsid w:val="0002264F"/>
    <w:rsid w:val="00034ADC"/>
    <w:rsid w:val="00041014"/>
    <w:rsid w:val="00046E13"/>
    <w:rsid w:val="00047CB2"/>
    <w:rsid w:val="00055CAA"/>
    <w:rsid w:val="0006022C"/>
    <w:rsid w:val="000704CA"/>
    <w:rsid w:val="000816EA"/>
    <w:rsid w:val="000848D4"/>
    <w:rsid w:val="00084CA0"/>
    <w:rsid w:val="00085C25"/>
    <w:rsid w:val="00086990"/>
    <w:rsid w:val="000904AC"/>
    <w:rsid w:val="00094BB9"/>
    <w:rsid w:val="000A63D1"/>
    <w:rsid w:val="000A7177"/>
    <w:rsid w:val="000B46EA"/>
    <w:rsid w:val="000B4E61"/>
    <w:rsid w:val="000B630A"/>
    <w:rsid w:val="000B65FE"/>
    <w:rsid w:val="000C5EA3"/>
    <w:rsid w:val="000C718A"/>
    <w:rsid w:val="000C7B3B"/>
    <w:rsid w:val="000F260F"/>
    <w:rsid w:val="000F6BEF"/>
    <w:rsid w:val="00134F2B"/>
    <w:rsid w:val="0013610C"/>
    <w:rsid w:val="00136167"/>
    <w:rsid w:val="00137F05"/>
    <w:rsid w:val="001431EB"/>
    <w:rsid w:val="00164A78"/>
    <w:rsid w:val="0017260A"/>
    <w:rsid w:val="00180284"/>
    <w:rsid w:val="00180F5D"/>
    <w:rsid w:val="001831AD"/>
    <w:rsid w:val="00183258"/>
    <w:rsid w:val="00184530"/>
    <w:rsid w:val="0019762A"/>
    <w:rsid w:val="001A2805"/>
    <w:rsid w:val="001B059C"/>
    <w:rsid w:val="001B4C5D"/>
    <w:rsid w:val="001C5309"/>
    <w:rsid w:val="001C5F4A"/>
    <w:rsid w:val="001D0E90"/>
    <w:rsid w:val="001E7F45"/>
    <w:rsid w:val="001F7760"/>
    <w:rsid w:val="00205F5C"/>
    <w:rsid w:val="002101CF"/>
    <w:rsid w:val="0021359A"/>
    <w:rsid w:val="0021388D"/>
    <w:rsid w:val="002146AD"/>
    <w:rsid w:val="00216B27"/>
    <w:rsid w:val="00226667"/>
    <w:rsid w:val="00226856"/>
    <w:rsid w:val="00231812"/>
    <w:rsid w:val="00233492"/>
    <w:rsid w:val="00233F3F"/>
    <w:rsid w:val="00242FB5"/>
    <w:rsid w:val="0025655B"/>
    <w:rsid w:val="00263936"/>
    <w:rsid w:val="0026654D"/>
    <w:rsid w:val="0027702E"/>
    <w:rsid w:val="0028428A"/>
    <w:rsid w:val="002903A7"/>
    <w:rsid w:val="00291C20"/>
    <w:rsid w:val="0029305B"/>
    <w:rsid w:val="002955AC"/>
    <w:rsid w:val="002A2ED9"/>
    <w:rsid w:val="002A76DE"/>
    <w:rsid w:val="002C06A9"/>
    <w:rsid w:val="002C4136"/>
    <w:rsid w:val="002D1681"/>
    <w:rsid w:val="002D752E"/>
    <w:rsid w:val="002E6104"/>
    <w:rsid w:val="002F1067"/>
    <w:rsid w:val="002F70AC"/>
    <w:rsid w:val="00300FEA"/>
    <w:rsid w:val="00306531"/>
    <w:rsid w:val="00312262"/>
    <w:rsid w:val="00313340"/>
    <w:rsid w:val="00313854"/>
    <w:rsid w:val="0032275A"/>
    <w:rsid w:val="00323A53"/>
    <w:rsid w:val="0033375E"/>
    <w:rsid w:val="00333F51"/>
    <w:rsid w:val="003369DC"/>
    <w:rsid w:val="00337E3A"/>
    <w:rsid w:val="003418D0"/>
    <w:rsid w:val="00352A85"/>
    <w:rsid w:val="00353620"/>
    <w:rsid w:val="00353828"/>
    <w:rsid w:val="0036223E"/>
    <w:rsid w:val="0036276E"/>
    <w:rsid w:val="00363570"/>
    <w:rsid w:val="00366563"/>
    <w:rsid w:val="0037044A"/>
    <w:rsid w:val="00372637"/>
    <w:rsid w:val="003765AA"/>
    <w:rsid w:val="003836D1"/>
    <w:rsid w:val="00390826"/>
    <w:rsid w:val="003920C0"/>
    <w:rsid w:val="00392294"/>
    <w:rsid w:val="003A7CEA"/>
    <w:rsid w:val="003B0B71"/>
    <w:rsid w:val="003B53A9"/>
    <w:rsid w:val="003B5770"/>
    <w:rsid w:val="003B6EB6"/>
    <w:rsid w:val="003C3CC8"/>
    <w:rsid w:val="003C6603"/>
    <w:rsid w:val="003D155C"/>
    <w:rsid w:val="003D7D72"/>
    <w:rsid w:val="003E67D4"/>
    <w:rsid w:val="003E74F4"/>
    <w:rsid w:val="003E7B8B"/>
    <w:rsid w:val="00400FA2"/>
    <w:rsid w:val="0040382F"/>
    <w:rsid w:val="004048A6"/>
    <w:rsid w:val="00412509"/>
    <w:rsid w:val="00413E3B"/>
    <w:rsid w:val="004155B6"/>
    <w:rsid w:val="004239D9"/>
    <w:rsid w:val="00430701"/>
    <w:rsid w:val="00432042"/>
    <w:rsid w:val="004349DE"/>
    <w:rsid w:val="00437C6E"/>
    <w:rsid w:val="004446A8"/>
    <w:rsid w:val="00454D28"/>
    <w:rsid w:val="0046189C"/>
    <w:rsid w:val="0046729B"/>
    <w:rsid w:val="004718D1"/>
    <w:rsid w:val="00473162"/>
    <w:rsid w:val="00480180"/>
    <w:rsid w:val="004814F6"/>
    <w:rsid w:val="0048190C"/>
    <w:rsid w:val="00495058"/>
    <w:rsid w:val="004C14AA"/>
    <w:rsid w:val="004D02E7"/>
    <w:rsid w:val="004E670D"/>
    <w:rsid w:val="004F4019"/>
    <w:rsid w:val="004F7514"/>
    <w:rsid w:val="00500819"/>
    <w:rsid w:val="00505BC5"/>
    <w:rsid w:val="00522714"/>
    <w:rsid w:val="00530C41"/>
    <w:rsid w:val="00532D7A"/>
    <w:rsid w:val="0053353E"/>
    <w:rsid w:val="005349C1"/>
    <w:rsid w:val="00541451"/>
    <w:rsid w:val="005448AF"/>
    <w:rsid w:val="005520C3"/>
    <w:rsid w:val="00554341"/>
    <w:rsid w:val="00563A1F"/>
    <w:rsid w:val="00564FA2"/>
    <w:rsid w:val="0057162D"/>
    <w:rsid w:val="00577074"/>
    <w:rsid w:val="005778A6"/>
    <w:rsid w:val="005821D3"/>
    <w:rsid w:val="005843AE"/>
    <w:rsid w:val="00585463"/>
    <w:rsid w:val="0058619D"/>
    <w:rsid w:val="00596872"/>
    <w:rsid w:val="005974A0"/>
    <w:rsid w:val="005A1055"/>
    <w:rsid w:val="005B15A5"/>
    <w:rsid w:val="005B1FD9"/>
    <w:rsid w:val="005B2813"/>
    <w:rsid w:val="005B5745"/>
    <w:rsid w:val="005B6A6A"/>
    <w:rsid w:val="005C003A"/>
    <w:rsid w:val="005C1050"/>
    <w:rsid w:val="005C2B7F"/>
    <w:rsid w:val="005D7760"/>
    <w:rsid w:val="005F2DB3"/>
    <w:rsid w:val="0061669A"/>
    <w:rsid w:val="00621560"/>
    <w:rsid w:val="0062498C"/>
    <w:rsid w:val="00642F5E"/>
    <w:rsid w:val="0064577E"/>
    <w:rsid w:val="006508E6"/>
    <w:rsid w:val="0065493D"/>
    <w:rsid w:val="0065621D"/>
    <w:rsid w:val="00663243"/>
    <w:rsid w:val="00676541"/>
    <w:rsid w:val="00676AD1"/>
    <w:rsid w:val="006849B5"/>
    <w:rsid w:val="00687C13"/>
    <w:rsid w:val="006933A9"/>
    <w:rsid w:val="006961F4"/>
    <w:rsid w:val="00696883"/>
    <w:rsid w:val="006A02EB"/>
    <w:rsid w:val="006A08E6"/>
    <w:rsid w:val="006B246D"/>
    <w:rsid w:val="006B6C18"/>
    <w:rsid w:val="006C6DD6"/>
    <w:rsid w:val="006D57EA"/>
    <w:rsid w:val="006E37ED"/>
    <w:rsid w:val="006E7F4B"/>
    <w:rsid w:val="006F10FD"/>
    <w:rsid w:val="007240C8"/>
    <w:rsid w:val="007320CC"/>
    <w:rsid w:val="00732130"/>
    <w:rsid w:val="007359AA"/>
    <w:rsid w:val="00743C78"/>
    <w:rsid w:val="00752662"/>
    <w:rsid w:val="00766148"/>
    <w:rsid w:val="007673E5"/>
    <w:rsid w:val="007725BE"/>
    <w:rsid w:val="00782521"/>
    <w:rsid w:val="00782604"/>
    <w:rsid w:val="00782BDB"/>
    <w:rsid w:val="00786245"/>
    <w:rsid w:val="00787300"/>
    <w:rsid w:val="0079386B"/>
    <w:rsid w:val="007961A9"/>
    <w:rsid w:val="007A66A6"/>
    <w:rsid w:val="007A7F65"/>
    <w:rsid w:val="007B1D47"/>
    <w:rsid w:val="007B3088"/>
    <w:rsid w:val="007B4B21"/>
    <w:rsid w:val="007C56B5"/>
    <w:rsid w:val="007D342E"/>
    <w:rsid w:val="007D73E1"/>
    <w:rsid w:val="007D75F4"/>
    <w:rsid w:val="007E0FD2"/>
    <w:rsid w:val="007E5813"/>
    <w:rsid w:val="007E75ED"/>
    <w:rsid w:val="007F27A3"/>
    <w:rsid w:val="007F3421"/>
    <w:rsid w:val="007F47CA"/>
    <w:rsid w:val="007F7C22"/>
    <w:rsid w:val="008078FA"/>
    <w:rsid w:val="008139ED"/>
    <w:rsid w:val="00816648"/>
    <w:rsid w:val="00823E6E"/>
    <w:rsid w:val="0083303C"/>
    <w:rsid w:val="00834D4D"/>
    <w:rsid w:val="008449E5"/>
    <w:rsid w:val="0085554F"/>
    <w:rsid w:val="00856AED"/>
    <w:rsid w:val="00864960"/>
    <w:rsid w:val="0086618B"/>
    <w:rsid w:val="008673BC"/>
    <w:rsid w:val="0087441C"/>
    <w:rsid w:val="00882D97"/>
    <w:rsid w:val="008A7957"/>
    <w:rsid w:val="008B24F2"/>
    <w:rsid w:val="008B694F"/>
    <w:rsid w:val="008C11AB"/>
    <w:rsid w:val="008C2B60"/>
    <w:rsid w:val="008C76FB"/>
    <w:rsid w:val="008D280E"/>
    <w:rsid w:val="008D2A10"/>
    <w:rsid w:val="008D7F7C"/>
    <w:rsid w:val="008E0CDF"/>
    <w:rsid w:val="008E1B50"/>
    <w:rsid w:val="008E7DDD"/>
    <w:rsid w:val="008F152A"/>
    <w:rsid w:val="009078D4"/>
    <w:rsid w:val="00907A06"/>
    <w:rsid w:val="00910AD2"/>
    <w:rsid w:val="00911CBE"/>
    <w:rsid w:val="00917BD7"/>
    <w:rsid w:val="00920D33"/>
    <w:rsid w:val="00922838"/>
    <w:rsid w:val="00926F3D"/>
    <w:rsid w:val="009346B6"/>
    <w:rsid w:val="009378DE"/>
    <w:rsid w:val="0094144E"/>
    <w:rsid w:val="00941A52"/>
    <w:rsid w:val="00941C39"/>
    <w:rsid w:val="00946D67"/>
    <w:rsid w:val="00947C53"/>
    <w:rsid w:val="009547C8"/>
    <w:rsid w:val="00957DBA"/>
    <w:rsid w:val="00961DDB"/>
    <w:rsid w:val="00962847"/>
    <w:rsid w:val="009670E6"/>
    <w:rsid w:val="00970884"/>
    <w:rsid w:val="00984868"/>
    <w:rsid w:val="009A0E8D"/>
    <w:rsid w:val="009A4E24"/>
    <w:rsid w:val="009B2784"/>
    <w:rsid w:val="009B4288"/>
    <w:rsid w:val="009B5B5F"/>
    <w:rsid w:val="009C20A3"/>
    <w:rsid w:val="009D61DC"/>
    <w:rsid w:val="009D623B"/>
    <w:rsid w:val="00A02B05"/>
    <w:rsid w:val="00A04BAE"/>
    <w:rsid w:val="00A165B9"/>
    <w:rsid w:val="00A2348E"/>
    <w:rsid w:val="00A24B75"/>
    <w:rsid w:val="00A266A8"/>
    <w:rsid w:val="00A35023"/>
    <w:rsid w:val="00A353D4"/>
    <w:rsid w:val="00A41F5A"/>
    <w:rsid w:val="00A42408"/>
    <w:rsid w:val="00A46264"/>
    <w:rsid w:val="00A55319"/>
    <w:rsid w:val="00A605D2"/>
    <w:rsid w:val="00A636E8"/>
    <w:rsid w:val="00A67C11"/>
    <w:rsid w:val="00A7766D"/>
    <w:rsid w:val="00A81F23"/>
    <w:rsid w:val="00A85280"/>
    <w:rsid w:val="00A96411"/>
    <w:rsid w:val="00AA1E93"/>
    <w:rsid w:val="00AB0DDA"/>
    <w:rsid w:val="00AB0F0A"/>
    <w:rsid w:val="00AB3E93"/>
    <w:rsid w:val="00AB4EFE"/>
    <w:rsid w:val="00AD3315"/>
    <w:rsid w:val="00AD4C9C"/>
    <w:rsid w:val="00AD4E82"/>
    <w:rsid w:val="00AD53A8"/>
    <w:rsid w:val="00AE02D3"/>
    <w:rsid w:val="00AE43DC"/>
    <w:rsid w:val="00AE5712"/>
    <w:rsid w:val="00AE6891"/>
    <w:rsid w:val="00AF259B"/>
    <w:rsid w:val="00AF615F"/>
    <w:rsid w:val="00B122D5"/>
    <w:rsid w:val="00B24569"/>
    <w:rsid w:val="00B33266"/>
    <w:rsid w:val="00B364FE"/>
    <w:rsid w:val="00B37736"/>
    <w:rsid w:val="00B4060C"/>
    <w:rsid w:val="00B419F8"/>
    <w:rsid w:val="00B53586"/>
    <w:rsid w:val="00B665F7"/>
    <w:rsid w:val="00B666C1"/>
    <w:rsid w:val="00B66B02"/>
    <w:rsid w:val="00B71699"/>
    <w:rsid w:val="00B74060"/>
    <w:rsid w:val="00B8545E"/>
    <w:rsid w:val="00B91056"/>
    <w:rsid w:val="00B952A7"/>
    <w:rsid w:val="00BA049F"/>
    <w:rsid w:val="00BA2350"/>
    <w:rsid w:val="00BA768B"/>
    <w:rsid w:val="00BB2252"/>
    <w:rsid w:val="00BC2107"/>
    <w:rsid w:val="00BC441E"/>
    <w:rsid w:val="00BC6717"/>
    <w:rsid w:val="00BC6C75"/>
    <w:rsid w:val="00BC7197"/>
    <w:rsid w:val="00BD3B9C"/>
    <w:rsid w:val="00BD5DB1"/>
    <w:rsid w:val="00BD7DAC"/>
    <w:rsid w:val="00BE09C1"/>
    <w:rsid w:val="00BE4BB9"/>
    <w:rsid w:val="00BF45A2"/>
    <w:rsid w:val="00C05AD2"/>
    <w:rsid w:val="00C05F9E"/>
    <w:rsid w:val="00C130FA"/>
    <w:rsid w:val="00C14004"/>
    <w:rsid w:val="00C201A7"/>
    <w:rsid w:val="00C201AF"/>
    <w:rsid w:val="00C4285A"/>
    <w:rsid w:val="00C42F51"/>
    <w:rsid w:val="00C44D32"/>
    <w:rsid w:val="00C5749E"/>
    <w:rsid w:val="00C60BFA"/>
    <w:rsid w:val="00C66181"/>
    <w:rsid w:val="00C70518"/>
    <w:rsid w:val="00C70A6F"/>
    <w:rsid w:val="00C71823"/>
    <w:rsid w:val="00C8310B"/>
    <w:rsid w:val="00C9224B"/>
    <w:rsid w:val="00C93374"/>
    <w:rsid w:val="00C96A9B"/>
    <w:rsid w:val="00CC27DD"/>
    <w:rsid w:val="00CD5D0F"/>
    <w:rsid w:val="00CF4482"/>
    <w:rsid w:val="00D04033"/>
    <w:rsid w:val="00D0636D"/>
    <w:rsid w:val="00D06616"/>
    <w:rsid w:val="00D101C1"/>
    <w:rsid w:val="00D1510C"/>
    <w:rsid w:val="00D236BE"/>
    <w:rsid w:val="00D23FD8"/>
    <w:rsid w:val="00D26D2A"/>
    <w:rsid w:val="00D610B6"/>
    <w:rsid w:val="00D62C19"/>
    <w:rsid w:val="00D66F10"/>
    <w:rsid w:val="00D765A0"/>
    <w:rsid w:val="00D83309"/>
    <w:rsid w:val="00DB7205"/>
    <w:rsid w:val="00DC334B"/>
    <w:rsid w:val="00DC4248"/>
    <w:rsid w:val="00DC55BB"/>
    <w:rsid w:val="00DC7227"/>
    <w:rsid w:val="00DE0BDC"/>
    <w:rsid w:val="00DE1254"/>
    <w:rsid w:val="00DE18AB"/>
    <w:rsid w:val="00DE311E"/>
    <w:rsid w:val="00DE6FAE"/>
    <w:rsid w:val="00DF1EB4"/>
    <w:rsid w:val="00DF2B6D"/>
    <w:rsid w:val="00E02135"/>
    <w:rsid w:val="00E1382F"/>
    <w:rsid w:val="00E15527"/>
    <w:rsid w:val="00E16316"/>
    <w:rsid w:val="00E17125"/>
    <w:rsid w:val="00E30D49"/>
    <w:rsid w:val="00E33D4C"/>
    <w:rsid w:val="00E37A36"/>
    <w:rsid w:val="00E44A05"/>
    <w:rsid w:val="00E47110"/>
    <w:rsid w:val="00E5311C"/>
    <w:rsid w:val="00E53471"/>
    <w:rsid w:val="00E56AA6"/>
    <w:rsid w:val="00E5792C"/>
    <w:rsid w:val="00E624B9"/>
    <w:rsid w:val="00E64AEC"/>
    <w:rsid w:val="00E64DD8"/>
    <w:rsid w:val="00E76076"/>
    <w:rsid w:val="00E82651"/>
    <w:rsid w:val="00E91D18"/>
    <w:rsid w:val="00E9304F"/>
    <w:rsid w:val="00E97FF2"/>
    <w:rsid w:val="00EA4A9A"/>
    <w:rsid w:val="00EB3A3D"/>
    <w:rsid w:val="00EB73CB"/>
    <w:rsid w:val="00EC06D9"/>
    <w:rsid w:val="00EC3143"/>
    <w:rsid w:val="00EC66B7"/>
    <w:rsid w:val="00ED7460"/>
    <w:rsid w:val="00EE4F1D"/>
    <w:rsid w:val="00EE5923"/>
    <w:rsid w:val="00EE6064"/>
    <w:rsid w:val="00EE6239"/>
    <w:rsid w:val="00EF5DED"/>
    <w:rsid w:val="00EF67AE"/>
    <w:rsid w:val="00EF7B27"/>
    <w:rsid w:val="00F05EF1"/>
    <w:rsid w:val="00F30AB9"/>
    <w:rsid w:val="00F46E12"/>
    <w:rsid w:val="00F626E3"/>
    <w:rsid w:val="00F6438C"/>
    <w:rsid w:val="00F64528"/>
    <w:rsid w:val="00F700E4"/>
    <w:rsid w:val="00F75771"/>
    <w:rsid w:val="00F9548A"/>
    <w:rsid w:val="00F96CA0"/>
    <w:rsid w:val="00FB2EE6"/>
    <w:rsid w:val="00FB355E"/>
    <w:rsid w:val="00FC0E24"/>
    <w:rsid w:val="00FE0CB5"/>
    <w:rsid w:val="00FE1174"/>
    <w:rsid w:val="00FE1FB5"/>
    <w:rsid w:val="00FE63F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A58CF21-6754-4466-A801-C609B371A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91056"/>
    <w:pPr>
      <w:spacing w:after="0" w:line="240" w:lineRule="auto"/>
    </w:pPr>
    <w:rPr>
      <w:rFonts w:ascii="Arial" w:eastAsia="Times New Roman" w:hAnsi="Arial" w:cs="Times New Roman"/>
      <w:sz w:val="20"/>
      <w:szCs w:val="20"/>
      <w:lang w:val="de-AT" w:eastAsia="de-DE"/>
    </w:rPr>
  </w:style>
  <w:style w:type="paragraph" w:styleId="berschrift1">
    <w:name w:val="heading 1"/>
    <w:basedOn w:val="Standard"/>
    <w:next w:val="Standard"/>
    <w:link w:val="berschrift1Zchn"/>
    <w:qFormat/>
    <w:rsid w:val="00B91056"/>
    <w:pPr>
      <w:keepNext/>
      <w:numPr>
        <w:numId w:val="1"/>
      </w:numPr>
      <w:spacing w:before="120" w:after="60"/>
      <w:outlineLvl w:val="0"/>
    </w:pPr>
    <w:rPr>
      <w:b/>
      <w:kern w:val="28"/>
      <w:u w:val="single"/>
    </w:rPr>
  </w:style>
  <w:style w:type="paragraph" w:styleId="berschrift2">
    <w:name w:val="heading 2"/>
    <w:basedOn w:val="berschrift1"/>
    <w:next w:val="Standard"/>
    <w:link w:val="berschrift2Zchn"/>
    <w:qFormat/>
    <w:rsid w:val="00B91056"/>
    <w:pPr>
      <w:numPr>
        <w:ilvl w:val="1"/>
      </w:numPr>
      <w:outlineLvl w:val="1"/>
    </w:pPr>
    <w:rPr>
      <w:u w:val="none"/>
    </w:rPr>
  </w:style>
  <w:style w:type="paragraph" w:styleId="berschrift3">
    <w:name w:val="heading 3"/>
    <w:basedOn w:val="berschrift2"/>
    <w:next w:val="Standard"/>
    <w:link w:val="berschrift3Zchn"/>
    <w:qFormat/>
    <w:rsid w:val="00B91056"/>
    <w:pPr>
      <w:numPr>
        <w:ilvl w:val="2"/>
      </w:numPr>
      <w:spacing w:before="240"/>
      <w:outlineLvl w:val="2"/>
    </w:pPr>
    <w:rPr>
      <w:b w:val="0"/>
    </w:rPr>
  </w:style>
  <w:style w:type="paragraph" w:styleId="berschrift4">
    <w:name w:val="heading 4"/>
    <w:basedOn w:val="Standard"/>
    <w:next w:val="Standard"/>
    <w:link w:val="berschrift4Zchn"/>
    <w:autoRedefine/>
    <w:qFormat/>
    <w:rsid w:val="00B91056"/>
    <w:pPr>
      <w:keepNext/>
      <w:numPr>
        <w:ilvl w:val="3"/>
        <w:numId w:val="1"/>
      </w:numPr>
      <w:spacing w:before="240" w:after="60"/>
      <w:outlineLvl w:val="3"/>
    </w:pPr>
  </w:style>
  <w:style w:type="paragraph" w:styleId="berschrift5">
    <w:name w:val="heading 5"/>
    <w:basedOn w:val="Standard"/>
    <w:next w:val="Standard"/>
    <w:link w:val="berschrift5Zchn"/>
    <w:qFormat/>
    <w:rsid w:val="00B91056"/>
    <w:pPr>
      <w:numPr>
        <w:ilvl w:val="4"/>
        <w:numId w:val="1"/>
      </w:numPr>
      <w:spacing w:before="240" w:after="60"/>
      <w:outlineLvl w:val="4"/>
    </w:pPr>
  </w:style>
  <w:style w:type="paragraph" w:styleId="berschrift6">
    <w:name w:val="heading 6"/>
    <w:basedOn w:val="Standard"/>
    <w:next w:val="Standard"/>
    <w:link w:val="berschrift6Zchn"/>
    <w:qFormat/>
    <w:rsid w:val="00B91056"/>
    <w:pPr>
      <w:numPr>
        <w:ilvl w:val="5"/>
        <w:numId w:val="1"/>
      </w:numPr>
      <w:spacing w:before="240" w:after="60"/>
      <w:outlineLvl w:val="5"/>
    </w:pPr>
  </w:style>
  <w:style w:type="paragraph" w:styleId="berschrift7">
    <w:name w:val="heading 7"/>
    <w:basedOn w:val="Standard"/>
    <w:next w:val="Standard"/>
    <w:link w:val="berschrift7Zchn"/>
    <w:qFormat/>
    <w:rsid w:val="00B91056"/>
    <w:pPr>
      <w:numPr>
        <w:ilvl w:val="6"/>
        <w:numId w:val="1"/>
      </w:numPr>
      <w:spacing w:before="240" w:after="60"/>
      <w:outlineLvl w:val="6"/>
    </w:pPr>
  </w:style>
  <w:style w:type="paragraph" w:styleId="berschrift8">
    <w:name w:val="heading 8"/>
    <w:basedOn w:val="Standard"/>
    <w:next w:val="Standard"/>
    <w:link w:val="berschrift8Zchn"/>
    <w:qFormat/>
    <w:rsid w:val="00B91056"/>
    <w:pPr>
      <w:numPr>
        <w:ilvl w:val="7"/>
        <w:numId w:val="1"/>
      </w:numPr>
      <w:spacing w:before="240" w:after="60"/>
      <w:outlineLvl w:val="7"/>
    </w:pPr>
  </w:style>
  <w:style w:type="paragraph" w:styleId="berschrift9">
    <w:name w:val="heading 9"/>
    <w:basedOn w:val="Standard"/>
    <w:next w:val="Standard"/>
    <w:link w:val="berschrift9Zchn"/>
    <w:qFormat/>
    <w:rsid w:val="00B91056"/>
    <w:pPr>
      <w:numPr>
        <w:ilvl w:val="8"/>
        <w:numId w:val="1"/>
      </w:numPr>
      <w:spacing w:before="240" w:after="6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91056"/>
    <w:rPr>
      <w:rFonts w:ascii="Arial" w:eastAsia="Times New Roman" w:hAnsi="Arial" w:cs="Times New Roman"/>
      <w:b/>
      <w:kern w:val="28"/>
      <w:sz w:val="20"/>
      <w:szCs w:val="20"/>
      <w:u w:val="single"/>
      <w:lang w:val="de-AT" w:eastAsia="de-DE"/>
    </w:rPr>
  </w:style>
  <w:style w:type="character" w:customStyle="1" w:styleId="berschrift2Zchn">
    <w:name w:val="Überschrift 2 Zchn"/>
    <w:basedOn w:val="Absatz-Standardschriftart"/>
    <w:link w:val="berschrift2"/>
    <w:rsid w:val="00B91056"/>
    <w:rPr>
      <w:rFonts w:ascii="Arial" w:eastAsia="Times New Roman" w:hAnsi="Arial" w:cs="Times New Roman"/>
      <w:b/>
      <w:kern w:val="28"/>
      <w:sz w:val="20"/>
      <w:szCs w:val="20"/>
      <w:lang w:val="de-AT" w:eastAsia="de-DE"/>
    </w:rPr>
  </w:style>
  <w:style w:type="character" w:customStyle="1" w:styleId="berschrift3Zchn">
    <w:name w:val="Überschrift 3 Zchn"/>
    <w:basedOn w:val="Absatz-Standardschriftart"/>
    <w:link w:val="berschrift3"/>
    <w:rsid w:val="00B91056"/>
    <w:rPr>
      <w:rFonts w:ascii="Arial" w:eastAsia="Times New Roman" w:hAnsi="Arial" w:cs="Times New Roman"/>
      <w:kern w:val="28"/>
      <w:sz w:val="20"/>
      <w:szCs w:val="20"/>
      <w:lang w:val="de-AT" w:eastAsia="de-DE"/>
    </w:rPr>
  </w:style>
  <w:style w:type="character" w:customStyle="1" w:styleId="berschrift4Zchn">
    <w:name w:val="Überschrift 4 Zchn"/>
    <w:basedOn w:val="Absatz-Standardschriftart"/>
    <w:link w:val="berschrift4"/>
    <w:rsid w:val="00B91056"/>
    <w:rPr>
      <w:rFonts w:ascii="Arial" w:eastAsia="Times New Roman" w:hAnsi="Arial" w:cs="Times New Roman"/>
      <w:sz w:val="20"/>
      <w:szCs w:val="20"/>
      <w:lang w:val="de-AT" w:eastAsia="de-DE"/>
    </w:rPr>
  </w:style>
  <w:style w:type="character" w:customStyle="1" w:styleId="berschrift5Zchn">
    <w:name w:val="Überschrift 5 Zchn"/>
    <w:basedOn w:val="Absatz-Standardschriftart"/>
    <w:link w:val="berschrift5"/>
    <w:rsid w:val="00B91056"/>
    <w:rPr>
      <w:rFonts w:ascii="Arial" w:eastAsia="Times New Roman" w:hAnsi="Arial" w:cs="Times New Roman"/>
      <w:sz w:val="20"/>
      <w:szCs w:val="20"/>
      <w:lang w:val="de-AT" w:eastAsia="de-DE"/>
    </w:rPr>
  </w:style>
  <w:style w:type="character" w:customStyle="1" w:styleId="berschrift6Zchn">
    <w:name w:val="Überschrift 6 Zchn"/>
    <w:basedOn w:val="Absatz-Standardschriftart"/>
    <w:link w:val="berschrift6"/>
    <w:rsid w:val="00B91056"/>
    <w:rPr>
      <w:rFonts w:ascii="Arial" w:eastAsia="Times New Roman" w:hAnsi="Arial" w:cs="Times New Roman"/>
      <w:sz w:val="20"/>
      <w:szCs w:val="20"/>
      <w:lang w:val="de-AT" w:eastAsia="de-DE"/>
    </w:rPr>
  </w:style>
  <w:style w:type="character" w:customStyle="1" w:styleId="berschrift7Zchn">
    <w:name w:val="Überschrift 7 Zchn"/>
    <w:basedOn w:val="Absatz-Standardschriftart"/>
    <w:link w:val="berschrift7"/>
    <w:rsid w:val="00B91056"/>
    <w:rPr>
      <w:rFonts w:ascii="Arial" w:eastAsia="Times New Roman" w:hAnsi="Arial" w:cs="Times New Roman"/>
      <w:sz w:val="20"/>
      <w:szCs w:val="20"/>
      <w:lang w:val="de-AT" w:eastAsia="de-DE"/>
    </w:rPr>
  </w:style>
  <w:style w:type="character" w:customStyle="1" w:styleId="berschrift8Zchn">
    <w:name w:val="Überschrift 8 Zchn"/>
    <w:basedOn w:val="Absatz-Standardschriftart"/>
    <w:link w:val="berschrift8"/>
    <w:rsid w:val="00B91056"/>
    <w:rPr>
      <w:rFonts w:ascii="Arial" w:eastAsia="Times New Roman" w:hAnsi="Arial" w:cs="Times New Roman"/>
      <w:sz w:val="20"/>
      <w:szCs w:val="20"/>
      <w:lang w:val="de-AT" w:eastAsia="de-DE"/>
    </w:rPr>
  </w:style>
  <w:style w:type="character" w:customStyle="1" w:styleId="berschrift9Zchn">
    <w:name w:val="Überschrift 9 Zchn"/>
    <w:basedOn w:val="Absatz-Standardschriftart"/>
    <w:link w:val="berschrift9"/>
    <w:rsid w:val="00B91056"/>
    <w:rPr>
      <w:rFonts w:ascii="Arial" w:eastAsia="Times New Roman" w:hAnsi="Arial" w:cs="Times New Roman"/>
      <w:sz w:val="20"/>
      <w:szCs w:val="20"/>
      <w:lang w:val="de-AT" w:eastAsia="de-DE"/>
    </w:rPr>
  </w:style>
  <w:style w:type="paragraph" w:styleId="Kopfzeile">
    <w:name w:val="header"/>
    <w:basedOn w:val="Standard"/>
    <w:link w:val="KopfzeileZchn"/>
    <w:rsid w:val="00B91056"/>
    <w:pPr>
      <w:tabs>
        <w:tab w:val="center" w:pos="4536"/>
        <w:tab w:val="right" w:pos="9072"/>
      </w:tabs>
    </w:pPr>
  </w:style>
  <w:style w:type="character" w:customStyle="1" w:styleId="KopfzeileZchn">
    <w:name w:val="Kopfzeile Zchn"/>
    <w:basedOn w:val="Absatz-Standardschriftart"/>
    <w:link w:val="Kopfzeile"/>
    <w:rsid w:val="00B91056"/>
    <w:rPr>
      <w:rFonts w:ascii="Arial" w:eastAsia="Times New Roman" w:hAnsi="Arial" w:cs="Times New Roman"/>
      <w:sz w:val="20"/>
      <w:szCs w:val="20"/>
      <w:lang w:val="de-AT" w:eastAsia="de-DE"/>
    </w:rPr>
  </w:style>
  <w:style w:type="paragraph" w:styleId="Abbildungsverzeichnis">
    <w:name w:val="table of figures"/>
    <w:basedOn w:val="Standard"/>
    <w:next w:val="Standard"/>
    <w:semiHidden/>
    <w:rsid w:val="00B91056"/>
    <w:pPr>
      <w:ind w:left="400" w:hanging="400"/>
    </w:pPr>
  </w:style>
  <w:style w:type="paragraph" w:styleId="Fuzeile">
    <w:name w:val="footer"/>
    <w:basedOn w:val="Standard"/>
    <w:link w:val="FuzeileZchn"/>
    <w:uiPriority w:val="99"/>
    <w:rsid w:val="00B91056"/>
    <w:pPr>
      <w:tabs>
        <w:tab w:val="center" w:pos="4536"/>
        <w:tab w:val="right" w:pos="9072"/>
      </w:tabs>
    </w:pPr>
  </w:style>
  <w:style w:type="character" w:customStyle="1" w:styleId="FuzeileZchn">
    <w:name w:val="Fußzeile Zchn"/>
    <w:basedOn w:val="Absatz-Standardschriftart"/>
    <w:link w:val="Fuzeile"/>
    <w:uiPriority w:val="99"/>
    <w:rsid w:val="00B91056"/>
    <w:rPr>
      <w:rFonts w:ascii="Arial" w:eastAsia="Times New Roman" w:hAnsi="Arial" w:cs="Times New Roman"/>
      <w:sz w:val="20"/>
      <w:szCs w:val="20"/>
      <w:lang w:val="de-AT" w:eastAsia="de-DE"/>
    </w:rPr>
  </w:style>
  <w:style w:type="paragraph" w:styleId="Verzeichnis1">
    <w:name w:val="toc 1"/>
    <w:basedOn w:val="Standard"/>
    <w:next w:val="Standard"/>
    <w:uiPriority w:val="39"/>
    <w:rsid w:val="00B91056"/>
    <w:pPr>
      <w:spacing w:before="120" w:after="120"/>
    </w:pPr>
    <w:rPr>
      <w:rFonts w:asciiTheme="minorHAnsi" w:hAnsiTheme="minorHAnsi" w:cstheme="minorHAnsi"/>
      <w:b/>
      <w:bCs/>
      <w:caps/>
    </w:rPr>
  </w:style>
  <w:style w:type="character" w:styleId="Hyperlink">
    <w:name w:val="Hyperlink"/>
    <w:uiPriority w:val="99"/>
    <w:rsid w:val="00B91056"/>
    <w:rPr>
      <w:color w:val="0000FF"/>
      <w:u w:val="single"/>
    </w:rPr>
  </w:style>
  <w:style w:type="character" w:styleId="Funotenzeichen">
    <w:name w:val="footnote reference"/>
    <w:uiPriority w:val="99"/>
    <w:semiHidden/>
    <w:rsid w:val="00B91056"/>
    <w:rPr>
      <w:vertAlign w:val="superscript"/>
    </w:rPr>
  </w:style>
  <w:style w:type="paragraph" w:styleId="Funotentext">
    <w:name w:val="footnote text"/>
    <w:basedOn w:val="Standard"/>
    <w:link w:val="FunotentextZchn"/>
    <w:uiPriority w:val="99"/>
    <w:semiHidden/>
    <w:rsid w:val="00B91056"/>
    <w:pPr>
      <w:jc w:val="both"/>
    </w:pPr>
    <w:rPr>
      <w:rFonts w:ascii="Times New Roman" w:hAnsi="Times New Roman"/>
      <w:lang w:val="de-DE"/>
    </w:rPr>
  </w:style>
  <w:style w:type="character" w:customStyle="1" w:styleId="FunotentextZchn">
    <w:name w:val="Fußnotentext Zchn"/>
    <w:basedOn w:val="Absatz-Standardschriftart"/>
    <w:link w:val="Funotentext"/>
    <w:uiPriority w:val="99"/>
    <w:semiHidden/>
    <w:rsid w:val="00B91056"/>
    <w:rPr>
      <w:rFonts w:ascii="Times New Roman" w:eastAsia="Times New Roman" w:hAnsi="Times New Roman" w:cs="Times New Roman"/>
      <w:sz w:val="20"/>
      <w:szCs w:val="20"/>
      <w:lang w:eastAsia="de-DE"/>
    </w:rPr>
  </w:style>
  <w:style w:type="paragraph" w:customStyle="1" w:styleId="Betrifft">
    <w:name w:val="Betrifft"/>
    <w:basedOn w:val="Standard"/>
    <w:next w:val="Standard"/>
    <w:rsid w:val="00B91056"/>
    <w:pPr>
      <w:pBdr>
        <w:bottom w:val="single" w:sz="4" w:space="1" w:color="auto"/>
      </w:pBdr>
    </w:pPr>
    <w:rPr>
      <w:rFonts w:ascii="Helvetica (PCL6)" w:hAnsi="Helvetica (PCL6)"/>
      <w:b/>
      <w:smallCaps/>
    </w:rPr>
  </w:style>
  <w:style w:type="character" w:styleId="Fett">
    <w:name w:val="Strong"/>
    <w:uiPriority w:val="22"/>
    <w:qFormat/>
    <w:rsid w:val="00B91056"/>
    <w:rPr>
      <w:b/>
      <w:bCs/>
    </w:rPr>
  </w:style>
  <w:style w:type="paragraph" w:styleId="Kommentartext">
    <w:name w:val="annotation text"/>
    <w:basedOn w:val="Standard"/>
    <w:link w:val="KommentartextZchn"/>
    <w:semiHidden/>
    <w:rsid w:val="00B91056"/>
    <w:rPr>
      <w:rFonts w:ascii="Times New Roman" w:hAnsi="Times New Roman"/>
      <w:lang w:val="de-DE"/>
    </w:rPr>
  </w:style>
  <w:style w:type="character" w:customStyle="1" w:styleId="KommentartextZchn">
    <w:name w:val="Kommentartext Zchn"/>
    <w:basedOn w:val="Absatz-Standardschriftart"/>
    <w:link w:val="Kommentartext"/>
    <w:semiHidden/>
    <w:rsid w:val="00B91056"/>
    <w:rPr>
      <w:rFonts w:ascii="Times New Roman" w:eastAsia="Times New Roman" w:hAnsi="Times New Roman" w:cs="Times New Roman"/>
      <w:sz w:val="20"/>
      <w:szCs w:val="20"/>
      <w:lang w:eastAsia="de-DE"/>
    </w:rPr>
  </w:style>
  <w:style w:type="paragraph" w:styleId="Index1">
    <w:name w:val="index 1"/>
    <w:basedOn w:val="Standard"/>
    <w:next w:val="Standard"/>
    <w:autoRedefine/>
    <w:semiHidden/>
    <w:unhideWhenUsed/>
    <w:rsid w:val="00B91056"/>
    <w:pPr>
      <w:ind w:left="200" w:hanging="200"/>
    </w:pPr>
  </w:style>
  <w:style w:type="paragraph" w:styleId="Indexberschrift">
    <w:name w:val="index heading"/>
    <w:basedOn w:val="Standard"/>
    <w:next w:val="Index1"/>
    <w:semiHidden/>
    <w:rsid w:val="00B91056"/>
    <w:rPr>
      <w:b/>
      <w:sz w:val="24"/>
      <w:lang w:val="de-DE"/>
    </w:rPr>
  </w:style>
  <w:style w:type="paragraph" w:styleId="Textkrper2">
    <w:name w:val="Body Text 2"/>
    <w:basedOn w:val="Standard"/>
    <w:link w:val="Textkrper2Zchn"/>
    <w:rsid w:val="00B91056"/>
    <w:pPr>
      <w:ind w:left="283"/>
    </w:pPr>
    <w:rPr>
      <w:rFonts w:ascii="Times New Roman" w:hAnsi="Times New Roman"/>
      <w:sz w:val="24"/>
      <w:lang w:val="de-DE"/>
    </w:rPr>
  </w:style>
  <w:style w:type="character" w:customStyle="1" w:styleId="Textkrper2Zchn">
    <w:name w:val="Textkörper 2 Zchn"/>
    <w:basedOn w:val="Absatz-Standardschriftart"/>
    <w:link w:val="Textkrper2"/>
    <w:rsid w:val="00B91056"/>
    <w:rPr>
      <w:rFonts w:ascii="Times New Roman" w:eastAsia="Times New Roman" w:hAnsi="Times New Roman" w:cs="Times New Roman"/>
      <w:sz w:val="24"/>
      <w:szCs w:val="20"/>
      <w:lang w:eastAsia="de-DE"/>
    </w:rPr>
  </w:style>
  <w:style w:type="paragraph" w:styleId="NurText">
    <w:name w:val="Plain Text"/>
    <w:basedOn w:val="Standard"/>
    <w:link w:val="NurTextZchn"/>
    <w:rsid w:val="00B91056"/>
    <w:rPr>
      <w:rFonts w:ascii="Courier New" w:hAnsi="Courier New"/>
      <w:lang w:val="de-DE"/>
    </w:rPr>
  </w:style>
  <w:style w:type="character" w:customStyle="1" w:styleId="NurTextZchn">
    <w:name w:val="Nur Text Zchn"/>
    <w:basedOn w:val="Absatz-Standardschriftart"/>
    <w:link w:val="NurText"/>
    <w:rsid w:val="00B91056"/>
    <w:rPr>
      <w:rFonts w:ascii="Courier New" w:eastAsia="Times New Roman" w:hAnsi="Courier New" w:cs="Times New Roman"/>
      <w:sz w:val="20"/>
      <w:szCs w:val="20"/>
      <w:lang w:eastAsia="de-DE"/>
    </w:rPr>
  </w:style>
  <w:style w:type="paragraph" w:styleId="Listenfortsetzung">
    <w:name w:val="List Continue"/>
    <w:basedOn w:val="Standard"/>
    <w:rsid w:val="00B91056"/>
    <w:pPr>
      <w:spacing w:after="120"/>
      <w:ind w:left="283"/>
    </w:pPr>
    <w:rPr>
      <w:rFonts w:ascii="Times New Roman" w:hAnsi="Times New Roman"/>
      <w:sz w:val="24"/>
      <w:lang w:val="de-DE"/>
    </w:rPr>
  </w:style>
  <w:style w:type="character" w:styleId="Seitenzahl">
    <w:name w:val="page number"/>
    <w:basedOn w:val="Absatz-Standardschriftart"/>
    <w:rsid w:val="00B91056"/>
  </w:style>
  <w:style w:type="paragraph" w:styleId="Titel">
    <w:name w:val="Title"/>
    <w:basedOn w:val="Standard"/>
    <w:link w:val="TitelZchn"/>
    <w:qFormat/>
    <w:rsid w:val="00B91056"/>
    <w:pPr>
      <w:pBdr>
        <w:top w:val="single" w:sz="6" w:space="1" w:color="auto"/>
        <w:left w:val="single" w:sz="6" w:space="1" w:color="auto"/>
        <w:bottom w:val="single" w:sz="6" w:space="1" w:color="auto"/>
        <w:right w:val="single" w:sz="6" w:space="17" w:color="auto"/>
      </w:pBdr>
      <w:ind w:left="-142" w:right="-114"/>
      <w:jc w:val="center"/>
      <w:outlineLvl w:val="0"/>
    </w:pPr>
    <w:rPr>
      <w:rFonts w:cs="Arial"/>
      <w:b/>
      <w:sz w:val="52"/>
    </w:rPr>
  </w:style>
  <w:style w:type="character" w:customStyle="1" w:styleId="TitelZchn">
    <w:name w:val="Titel Zchn"/>
    <w:basedOn w:val="Absatz-Standardschriftart"/>
    <w:link w:val="Titel"/>
    <w:rsid w:val="00B91056"/>
    <w:rPr>
      <w:rFonts w:ascii="Arial" w:eastAsia="Times New Roman" w:hAnsi="Arial" w:cs="Arial"/>
      <w:b/>
      <w:sz w:val="52"/>
      <w:szCs w:val="20"/>
      <w:lang w:val="de-AT" w:eastAsia="de-DE"/>
    </w:rPr>
  </w:style>
  <w:style w:type="paragraph" w:styleId="StandardWeb">
    <w:name w:val="Normal (Web)"/>
    <w:basedOn w:val="Standard"/>
    <w:uiPriority w:val="99"/>
    <w:rsid w:val="00B91056"/>
    <w:pPr>
      <w:spacing w:before="100" w:beforeAutospacing="1" w:after="100" w:afterAutospacing="1"/>
    </w:pPr>
    <w:rPr>
      <w:rFonts w:ascii="Verdana" w:hAnsi="Verdana"/>
      <w:color w:val="000064"/>
      <w:sz w:val="24"/>
      <w:szCs w:val="24"/>
    </w:rPr>
  </w:style>
  <w:style w:type="paragraph" w:styleId="Aufzhlungszeichen">
    <w:name w:val="List Bullet"/>
    <w:basedOn w:val="Standard"/>
    <w:autoRedefine/>
    <w:rsid w:val="00B91056"/>
    <w:pPr>
      <w:tabs>
        <w:tab w:val="num" w:pos="737"/>
      </w:tabs>
      <w:spacing w:after="120"/>
      <w:ind w:left="737" w:hanging="397"/>
      <w:jc w:val="both"/>
    </w:pPr>
    <w:rPr>
      <w:sz w:val="22"/>
      <w:lang w:val="de-DE"/>
    </w:rPr>
  </w:style>
  <w:style w:type="paragraph" w:styleId="Aufzhlungszeichen2">
    <w:name w:val="List Bullet 2"/>
    <w:basedOn w:val="Standard"/>
    <w:autoRedefine/>
    <w:rsid w:val="00B91056"/>
    <w:pPr>
      <w:tabs>
        <w:tab w:val="left" w:pos="737"/>
      </w:tabs>
      <w:spacing w:after="120"/>
      <w:ind w:left="737" w:hanging="397"/>
      <w:jc w:val="both"/>
    </w:pPr>
    <w:rPr>
      <w:b/>
      <w:sz w:val="22"/>
      <w:lang w:val="de-DE"/>
    </w:rPr>
  </w:style>
  <w:style w:type="paragraph" w:styleId="Aufzhlungszeichen3">
    <w:name w:val="List Bullet 3"/>
    <w:basedOn w:val="Standard"/>
    <w:autoRedefine/>
    <w:rsid w:val="00B91056"/>
    <w:pPr>
      <w:tabs>
        <w:tab w:val="left" w:pos="1021"/>
      </w:tabs>
      <w:ind w:left="1021" w:hanging="284"/>
      <w:jc w:val="both"/>
    </w:pPr>
    <w:rPr>
      <w:sz w:val="22"/>
      <w:lang w:val="de-DE"/>
    </w:rPr>
  </w:style>
  <w:style w:type="character" w:customStyle="1" w:styleId="black">
    <w:name w:val="black"/>
    <w:basedOn w:val="Absatz-Standardschriftart"/>
    <w:rsid w:val="00B91056"/>
  </w:style>
  <w:style w:type="paragraph" w:styleId="Textkrper-Zeileneinzug">
    <w:name w:val="Body Text Indent"/>
    <w:basedOn w:val="Standard"/>
    <w:link w:val="Textkrper-ZeileneinzugZchn"/>
    <w:rsid w:val="00B91056"/>
    <w:pPr>
      <w:spacing w:after="120"/>
      <w:ind w:left="283"/>
    </w:pPr>
  </w:style>
  <w:style w:type="character" w:customStyle="1" w:styleId="Textkrper-ZeileneinzugZchn">
    <w:name w:val="Textkörper-Zeileneinzug Zchn"/>
    <w:basedOn w:val="Absatz-Standardschriftart"/>
    <w:link w:val="Textkrper-Zeileneinzug"/>
    <w:rsid w:val="00B91056"/>
    <w:rPr>
      <w:rFonts w:ascii="Arial" w:eastAsia="Times New Roman" w:hAnsi="Arial" w:cs="Times New Roman"/>
      <w:sz w:val="20"/>
      <w:szCs w:val="20"/>
      <w:lang w:val="de-AT" w:eastAsia="de-DE"/>
    </w:rPr>
  </w:style>
  <w:style w:type="paragraph" w:styleId="Textkrper">
    <w:name w:val="Body Text"/>
    <w:basedOn w:val="Standard"/>
    <w:link w:val="TextkrperZchn"/>
    <w:rsid w:val="00B91056"/>
    <w:pPr>
      <w:spacing w:after="120"/>
    </w:pPr>
  </w:style>
  <w:style w:type="character" w:customStyle="1" w:styleId="TextkrperZchn">
    <w:name w:val="Textkörper Zchn"/>
    <w:basedOn w:val="Absatz-Standardschriftart"/>
    <w:link w:val="Textkrper"/>
    <w:rsid w:val="00B91056"/>
    <w:rPr>
      <w:rFonts w:ascii="Arial" w:eastAsia="Times New Roman" w:hAnsi="Arial" w:cs="Times New Roman"/>
      <w:sz w:val="20"/>
      <w:szCs w:val="20"/>
      <w:lang w:val="de-AT" w:eastAsia="de-DE"/>
    </w:rPr>
  </w:style>
  <w:style w:type="character" w:customStyle="1" w:styleId="berschrift1Zchn1">
    <w:name w:val="Überschrift 1 Zchn1"/>
    <w:rsid w:val="00B91056"/>
    <w:rPr>
      <w:rFonts w:ascii="Arial" w:hAnsi="Arial"/>
      <w:b/>
      <w:kern w:val="28"/>
      <w:u w:val="single"/>
      <w:lang w:val="de-AT" w:eastAsia="de-DE" w:bidi="ar-SA"/>
    </w:rPr>
  </w:style>
  <w:style w:type="character" w:customStyle="1" w:styleId="hide">
    <w:name w:val="hide"/>
    <w:basedOn w:val="Absatz-Standardschriftart"/>
    <w:rsid w:val="00B91056"/>
  </w:style>
  <w:style w:type="character" w:customStyle="1" w:styleId="dnsuchwortft">
    <w:name w:val="dn_suchwortft"/>
    <w:basedOn w:val="Absatz-Standardschriftart"/>
    <w:rsid w:val="00B91056"/>
  </w:style>
  <w:style w:type="character" w:styleId="Kommentarzeichen">
    <w:name w:val="annotation reference"/>
    <w:semiHidden/>
    <w:rsid w:val="00B91056"/>
    <w:rPr>
      <w:sz w:val="16"/>
      <w:szCs w:val="16"/>
    </w:rPr>
  </w:style>
  <w:style w:type="paragraph" w:styleId="Kommentarthema">
    <w:name w:val="annotation subject"/>
    <w:basedOn w:val="Kommentartext"/>
    <w:next w:val="Kommentartext"/>
    <w:link w:val="KommentarthemaZchn"/>
    <w:semiHidden/>
    <w:rsid w:val="00B91056"/>
    <w:rPr>
      <w:rFonts w:ascii="Arial" w:hAnsi="Arial"/>
      <w:b/>
      <w:bCs/>
      <w:lang w:val="de-AT"/>
    </w:rPr>
  </w:style>
  <w:style w:type="character" w:customStyle="1" w:styleId="KommentarthemaZchn">
    <w:name w:val="Kommentarthema Zchn"/>
    <w:basedOn w:val="KommentartextZchn"/>
    <w:link w:val="Kommentarthema"/>
    <w:semiHidden/>
    <w:rsid w:val="00B91056"/>
    <w:rPr>
      <w:rFonts w:ascii="Arial" w:eastAsia="Times New Roman" w:hAnsi="Arial" w:cs="Times New Roman"/>
      <w:b/>
      <w:bCs/>
      <w:sz w:val="20"/>
      <w:szCs w:val="20"/>
      <w:lang w:val="de-AT" w:eastAsia="de-DE"/>
    </w:rPr>
  </w:style>
  <w:style w:type="paragraph" w:styleId="Sprechblasentext">
    <w:name w:val="Balloon Text"/>
    <w:basedOn w:val="Standard"/>
    <w:link w:val="SprechblasentextZchn"/>
    <w:semiHidden/>
    <w:rsid w:val="00B91056"/>
    <w:rPr>
      <w:rFonts w:ascii="Tahoma" w:hAnsi="Tahoma" w:cs="Tahoma"/>
      <w:sz w:val="16"/>
      <w:szCs w:val="16"/>
    </w:rPr>
  </w:style>
  <w:style w:type="character" w:customStyle="1" w:styleId="SprechblasentextZchn">
    <w:name w:val="Sprechblasentext Zchn"/>
    <w:basedOn w:val="Absatz-Standardschriftart"/>
    <w:link w:val="Sprechblasentext"/>
    <w:semiHidden/>
    <w:rsid w:val="00B91056"/>
    <w:rPr>
      <w:rFonts w:ascii="Tahoma" w:eastAsia="Times New Roman" w:hAnsi="Tahoma" w:cs="Tahoma"/>
      <w:sz w:val="16"/>
      <w:szCs w:val="16"/>
      <w:lang w:val="de-AT" w:eastAsia="de-DE"/>
    </w:rPr>
  </w:style>
  <w:style w:type="character" w:styleId="Hervorhebung">
    <w:name w:val="Emphasis"/>
    <w:qFormat/>
    <w:rsid w:val="00B91056"/>
    <w:rPr>
      <w:i/>
      <w:iCs/>
    </w:rPr>
  </w:style>
  <w:style w:type="character" w:customStyle="1" w:styleId="bold">
    <w:name w:val="bold"/>
    <w:basedOn w:val="Absatz-Standardschriftart"/>
    <w:rsid w:val="00B91056"/>
  </w:style>
  <w:style w:type="paragraph" w:customStyle="1" w:styleId="loose">
    <w:name w:val="loose"/>
    <w:basedOn w:val="Standard"/>
    <w:rsid w:val="00B91056"/>
    <w:pPr>
      <w:spacing w:before="100" w:beforeAutospacing="1" w:after="100" w:afterAutospacing="1"/>
    </w:pPr>
    <w:rPr>
      <w:rFonts w:ascii="Arial Unicode MS" w:eastAsia="Arial Unicode MS" w:hAnsi="Arial Unicode MS" w:cs="Arial Unicode MS"/>
      <w:sz w:val="24"/>
      <w:szCs w:val="24"/>
    </w:rPr>
  </w:style>
  <w:style w:type="paragraph" w:styleId="Dokumentstruktur">
    <w:name w:val="Document Map"/>
    <w:basedOn w:val="Standard"/>
    <w:link w:val="DokumentstrukturZchn"/>
    <w:semiHidden/>
    <w:rsid w:val="00B91056"/>
    <w:pPr>
      <w:shd w:val="clear" w:color="auto" w:fill="000080"/>
    </w:pPr>
    <w:rPr>
      <w:rFonts w:ascii="Tahoma" w:hAnsi="Tahoma" w:cs="Tahoma"/>
    </w:rPr>
  </w:style>
  <w:style w:type="character" w:customStyle="1" w:styleId="DokumentstrukturZchn">
    <w:name w:val="Dokumentstruktur Zchn"/>
    <w:basedOn w:val="Absatz-Standardschriftart"/>
    <w:link w:val="Dokumentstruktur"/>
    <w:semiHidden/>
    <w:rsid w:val="00B91056"/>
    <w:rPr>
      <w:rFonts w:ascii="Tahoma" w:eastAsia="Times New Roman" w:hAnsi="Tahoma" w:cs="Tahoma"/>
      <w:sz w:val="20"/>
      <w:szCs w:val="20"/>
      <w:shd w:val="clear" w:color="auto" w:fill="000080"/>
      <w:lang w:val="de-AT" w:eastAsia="de-DE"/>
    </w:rPr>
  </w:style>
  <w:style w:type="character" w:customStyle="1" w:styleId="bold1">
    <w:name w:val="bold1"/>
    <w:rsid w:val="00B91056"/>
    <w:rPr>
      <w:b/>
      <w:bCs/>
    </w:rPr>
  </w:style>
  <w:style w:type="paragraph" w:customStyle="1" w:styleId="BDOAufzhlungszeichen2">
    <w:name w:val="BDO Aufzählungszeichen 2"/>
    <w:basedOn w:val="Aufzhlungszeichen2"/>
    <w:qFormat/>
    <w:rsid w:val="00B91056"/>
    <w:pPr>
      <w:numPr>
        <w:numId w:val="2"/>
      </w:numPr>
      <w:tabs>
        <w:tab w:val="clear" w:pos="737"/>
        <w:tab w:val="left" w:pos="284"/>
      </w:tabs>
    </w:pPr>
    <w:rPr>
      <w:rFonts w:ascii="Trebuchet MS" w:hAnsi="Trebuchet MS"/>
      <w:b w:val="0"/>
      <w:bCs/>
      <w:sz w:val="20"/>
    </w:rPr>
  </w:style>
  <w:style w:type="paragraph" w:styleId="Verzeichnis2">
    <w:name w:val="toc 2"/>
    <w:basedOn w:val="Standard"/>
    <w:next w:val="Standard"/>
    <w:autoRedefine/>
    <w:uiPriority w:val="39"/>
    <w:rsid w:val="00752662"/>
    <w:pPr>
      <w:tabs>
        <w:tab w:val="left" w:pos="567"/>
        <w:tab w:val="right" w:leader="dot" w:pos="9204"/>
      </w:tabs>
      <w:spacing w:line="276" w:lineRule="auto"/>
      <w:ind w:left="567" w:hanging="567"/>
    </w:pPr>
    <w:rPr>
      <w:rFonts w:cs="Arial"/>
      <w:smallCaps/>
      <w:noProof/>
      <w:sz w:val="24"/>
      <w:szCs w:val="24"/>
    </w:rPr>
  </w:style>
  <w:style w:type="paragraph" w:styleId="Listenabsatz">
    <w:name w:val="List Paragraph"/>
    <w:basedOn w:val="Standard"/>
    <w:uiPriority w:val="34"/>
    <w:qFormat/>
    <w:rsid w:val="00B91056"/>
    <w:pPr>
      <w:ind w:left="720"/>
      <w:contextualSpacing/>
    </w:pPr>
  </w:style>
  <w:style w:type="paragraph" w:customStyle="1" w:styleId="ListeBullet1first">
    <w:name w:val="Liste_Bullet1_first"/>
    <w:uiPriority w:val="99"/>
    <w:rsid w:val="00B91056"/>
    <w:pPr>
      <w:widowControl w:val="0"/>
      <w:tabs>
        <w:tab w:val="left" w:pos="280"/>
      </w:tabs>
      <w:autoSpaceDE w:val="0"/>
      <w:autoSpaceDN w:val="0"/>
      <w:adjustRightInd w:val="0"/>
      <w:spacing w:before="100" w:after="40" w:line="240" w:lineRule="atLeast"/>
      <w:ind w:left="280" w:hanging="280"/>
      <w:jc w:val="both"/>
    </w:pPr>
    <w:rPr>
      <w:rFonts w:ascii="NewBskvll BT" w:eastAsiaTheme="minorEastAsia" w:hAnsi="NewBskvll BT" w:cs="NewBskvll BT"/>
      <w:color w:val="000000"/>
      <w:w w:val="0"/>
      <w:sz w:val="20"/>
      <w:szCs w:val="20"/>
      <w:lang w:eastAsia="de-DE"/>
    </w:rPr>
  </w:style>
  <w:style w:type="paragraph" w:customStyle="1" w:styleId="ListeBullet1">
    <w:name w:val="Liste_Bullet1"/>
    <w:uiPriority w:val="99"/>
    <w:rsid w:val="00B91056"/>
    <w:pPr>
      <w:widowControl w:val="0"/>
      <w:tabs>
        <w:tab w:val="left" w:pos="280"/>
      </w:tabs>
      <w:autoSpaceDE w:val="0"/>
      <w:autoSpaceDN w:val="0"/>
      <w:adjustRightInd w:val="0"/>
      <w:spacing w:after="40" w:line="240" w:lineRule="atLeast"/>
      <w:ind w:left="280" w:hanging="280"/>
      <w:jc w:val="both"/>
    </w:pPr>
    <w:rPr>
      <w:rFonts w:ascii="NewBskvll BT" w:eastAsiaTheme="minorEastAsia" w:hAnsi="NewBskvll BT" w:cs="NewBskvll BT"/>
      <w:color w:val="000000"/>
      <w:w w:val="0"/>
      <w:sz w:val="20"/>
      <w:szCs w:val="20"/>
      <w:lang w:eastAsia="de-DE"/>
    </w:rPr>
  </w:style>
  <w:style w:type="paragraph" w:customStyle="1" w:styleId="Fliesstexteohne">
    <w:name w:val="Fliesstexte ohne"/>
    <w:uiPriority w:val="99"/>
    <w:rsid w:val="00B91056"/>
    <w:pPr>
      <w:autoSpaceDE w:val="0"/>
      <w:autoSpaceDN w:val="0"/>
      <w:adjustRightInd w:val="0"/>
      <w:spacing w:after="0" w:line="260" w:lineRule="atLeast"/>
      <w:jc w:val="both"/>
    </w:pPr>
    <w:rPr>
      <w:rFonts w:ascii="NewBskvll BT" w:eastAsiaTheme="minorEastAsia" w:hAnsi="NewBskvll BT" w:cs="NewBskvll BT"/>
      <w:color w:val="000000"/>
      <w:w w:val="0"/>
      <w:sz w:val="20"/>
      <w:szCs w:val="20"/>
      <w:lang w:eastAsia="de-DE"/>
    </w:rPr>
  </w:style>
  <w:style w:type="character" w:customStyle="1" w:styleId="FettFliesstext">
    <w:name w:val="Fett_Fliesstext"/>
    <w:uiPriority w:val="99"/>
    <w:rsid w:val="00B91056"/>
    <w:rPr>
      <w:rFonts w:ascii="NewBskvll BT" w:hAnsi="NewBskvll BT"/>
      <w:b/>
      <w:color w:val="000000"/>
      <w:spacing w:val="0"/>
      <w:w w:val="93"/>
      <w:sz w:val="21"/>
      <w:u w:val="none"/>
      <w:vertAlign w:val="baseline"/>
      <w:lang w:val="de-DE"/>
    </w:rPr>
  </w:style>
  <w:style w:type="paragraph" w:customStyle="1" w:styleId="Fliesstext">
    <w:name w:val="Fliesstext"/>
    <w:uiPriority w:val="99"/>
    <w:rsid w:val="00B91056"/>
    <w:pPr>
      <w:autoSpaceDE w:val="0"/>
      <w:autoSpaceDN w:val="0"/>
      <w:adjustRightInd w:val="0"/>
      <w:spacing w:after="0" w:line="240" w:lineRule="atLeast"/>
      <w:ind w:firstLine="280"/>
      <w:jc w:val="both"/>
    </w:pPr>
    <w:rPr>
      <w:rFonts w:ascii="NewBskvll BT" w:eastAsiaTheme="minorEastAsia" w:hAnsi="NewBskvll BT" w:cs="NewBskvll BT"/>
      <w:color w:val="000000"/>
      <w:w w:val="0"/>
      <w:sz w:val="20"/>
      <w:szCs w:val="20"/>
      <w:lang w:eastAsia="de-DE"/>
    </w:rPr>
  </w:style>
  <w:style w:type="paragraph" w:customStyle="1" w:styleId="FliesstextmitAbstand">
    <w:name w:val="Fliesstext mit Abstand"/>
    <w:uiPriority w:val="99"/>
    <w:rsid w:val="00B91056"/>
    <w:pPr>
      <w:autoSpaceDE w:val="0"/>
      <w:autoSpaceDN w:val="0"/>
      <w:adjustRightInd w:val="0"/>
      <w:spacing w:before="100" w:after="0" w:line="240" w:lineRule="atLeast"/>
      <w:jc w:val="both"/>
    </w:pPr>
    <w:rPr>
      <w:rFonts w:ascii="NewBskvll BT" w:eastAsiaTheme="minorEastAsia" w:hAnsi="NewBskvll BT" w:cs="NewBskvll BT"/>
      <w:color w:val="000000"/>
      <w:w w:val="0"/>
      <w:sz w:val="20"/>
      <w:szCs w:val="20"/>
      <w:lang w:eastAsia="de-DE"/>
    </w:rPr>
  </w:style>
  <w:style w:type="character" w:styleId="BesuchterHyperlink">
    <w:name w:val="FollowedHyperlink"/>
    <w:basedOn w:val="Absatz-Standardschriftart"/>
    <w:rsid w:val="00B91056"/>
    <w:rPr>
      <w:color w:val="800080" w:themeColor="followedHyperlink"/>
      <w:u w:val="single"/>
    </w:rPr>
  </w:style>
  <w:style w:type="paragraph" w:styleId="Inhaltsverzeichnisberschrift">
    <w:name w:val="TOC Heading"/>
    <w:basedOn w:val="berschrift1"/>
    <w:next w:val="Standard"/>
    <w:uiPriority w:val="39"/>
    <w:unhideWhenUsed/>
    <w:qFormat/>
    <w:rsid w:val="00B91056"/>
    <w:pPr>
      <w:keepLines/>
      <w:numPr>
        <w:numId w:val="0"/>
      </w:numPr>
      <w:spacing w:before="480" w:after="0" w:line="276" w:lineRule="auto"/>
      <w:outlineLvl w:val="9"/>
    </w:pPr>
    <w:rPr>
      <w:rFonts w:asciiTheme="majorHAnsi" w:eastAsiaTheme="majorEastAsia" w:hAnsiTheme="majorHAnsi" w:cstheme="majorBidi"/>
      <w:bCs/>
      <w:color w:val="365F91" w:themeColor="accent1" w:themeShade="BF"/>
      <w:kern w:val="0"/>
      <w:sz w:val="28"/>
      <w:szCs w:val="28"/>
      <w:u w:val="none"/>
      <w:lang w:eastAsia="de-AT"/>
    </w:rPr>
  </w:style>
  <w:style w:type="paragraph" w:styleId="Verzeichnis3">
    <w:name w:val="toc 3"/>
    <w:basedOn w:val="Standard"/>
    <w:next w:val="Standard"/>
    <w:autoRedefine/>
    <w:uiPriority w:val="39"/>
    <w:rsid w:val="00B91056"/>
    <w:pPr>
      <w:ind w:left="400"/>
    </w:pPr>
    <w:rPr>
      <w:rFonts w:asciiTheme="minorHAnsi" w:hAnsiTheme="minorHAnsi" w:cstheme="minorHAnsi"/>
      <w:i/>
      <w:iCs/>
    </w:rPr>
  </w:style>
  <w:style w:type="table" w:styleId="Tabellenraster">
    <w:name w:val="Table Grid"/>
    <w:aliases w:val="IPG Table 1"/>
    <w:basedOn w:val="NormaleTabelle"/>
    <w:unhideWhenUsed/>
    <w:rsid w:val="00EC6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erzeichnis4">
    <w:name w:val="toc 4"/>
    <w:basedOn w:val="Standard"/>
    <w:next w:val="Standard"/>
    <w:autoRedefine/>
    <w:uiPriority w:val="39"/>
    <w:unhideWhenUsed/>
    <w:rsid w:val="00E02135"/>
    <w:pPr>
      <w:ind w:left="600"/>
    </w:pPr>
    <w:rPr>
      <w:rFonts w:asciiTheme="minorHAnsi" w:hAnsiTheme="minorHAnsi" w:cstheme="minorHAnsi"/>
      <w:sz w:val="18"/>
      <w:szCs w:val="18"/>
    </w:rPr>
  </w:style>
  <w:style w:type="paragraph" w:styleId="Verzeichnis5">
    <w:name w:val="toc 5"/>
    <w:basedOn w:val="Standard"/>
    <w:next w:val="Standard"/>
    <w:autoRedefine/>
    <w:uiPriority w:val="39"/>
    <w:unhideWhenUsed/>
    <w:rsid w:val="00E02135"/>
    <w:pPr>
      <w:ind w:left="800"/>
    </w:pPr>
    <w:rPr>
      <w:rFonts w:asciiTheme="minorHAnsi" w:hAnsiTheme="minorHAnsi" w:cstheme="minorHAnsi"/>
      <w:sz w:val="18"/>
      <w:szCs w:val="18"/>
    </w:rPr>
  </w:style>
  <w:style w:type="paragraph" w:styleId="Verzeichnis6">
    <w:name w:val="toc 6"/>
    <w:basedOn w:val="Standard"/>
    <w:next w:val="Standard"/>
    <w:autoRedefine/>
    <w:uiPriority w:val="39"/>
    <w:unhideWhenUsed/>
    <w:rsid w:val="00E02135"/>
    <w:pPr>
      <w:ind w:left="1000"/>
    </w:pPr>
    <w:rPr>
      <w:rFonts w:asciiTheme="minorHAnsi" w:hAnsiTheme="minorHAnsi" w:cstheme="minorHAnsi"/>
      <w:sz w:val="18"/>
      <w:szCs w:val="18"/>
    </w:rPr>
  </w:style>
  <w:style w:type="paragraph" w:styleId="Verzeichnis7">
    <w:name w:val="toc 7"/>
    <w:basedOn w:val="Standard"/>
    <w:next w:val="Standard"/>
    <w:autoRedefine/>
    <w:uiPriority w:val="39"/>
    <w:unhideWhenUsed/>
    <w:rsid w:val="00E02135"/>
    <w:pPr>
      <w:ind w:left="1200"/>
    </w:pPr>
    <w:rPr>
      <w:rFonts w:asciiTheme="minorHAnsi" w:hAnsiTheme="minorHAnsi" w:cstheme="minorHAnsi"/>
      <w:sz w:val="18"/>
      <w:szCs w:val="18"/>
    </w:rPr>
  </w:style>
  <w:style w:type="paragraph" w:styleId="Verzeichnis8">
    <w:name w:val="toc 8"/>
    <w:basedOn w:val="Standard"/>
    <w:next w:val="Standard"/>
    <w:autoRedefine/>
    <w:uiPriority w:val="39"/>
    <w:unhideWhenUsed/>
    <w:rsid w:val="00E02135"/>
    <w:pPr>
      <w:ind w:left="1400"/>
    </w:pPr>
    <w:rPr>
      <w:rFonts w:asciiTheme="minorHAnsi" w:hAnsiTheme="minorHAnsi" w:cstheme="minorHAnsi"/>
      <w:sz w:val="18"/>
      <w:szCs w:val="18"/>
    </w:rPr>
  </w:style>
  <w:style w:type="paragraph" w:styleId="Verzeichnis9">
    <w:name w:val="toc 9"/>
    <w:basedOn w:val="Standard"/>
    <w:next w:val="Standard"/>
    <w:autoRedefine/>
    <w:uiPriority w:val="39"/>
    <w:unhideWhenUsed/>
    <w:rsid w:val="00E02135"/>
    <w:pPr>
      <w:ind w:left="1600"/>
    </w:pPr>
    <w:rPr>
      <w:rFonts w:asciiTheme="minorHAnsi" w:hAnsiTheme="minorHAnsi" w:cstheme="minorHAnsi"/>
      <w:sz w:val="18"/>
      <w:szCs w:val="18"/>
    </w:rPr>
  </w:style>
  <w:style w:type="character" w:customStyle="1" w:styleId="UnresolvedMention">
    <w:name w:val="Unresolved Mention"/>
    <w:basedOn w:val="Absatz-Standardschriftart"/>
    <w:uiPriority w:val="99"/>
    <w:semiHidden/>
    <w:unhideWhenUsed/>
    <w:rsid w:val="00C60B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67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mf.gv.at/service/allg/spende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E71124D-596C-417E-9A9F-18DC0AEBC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7720</Words>
  <Characters>48643</Characters>
  <Application>Microsoft Office Word</Application>
  <DocSecurity>4</DocSecurity>
  <Lines>405</Lines>
  <Paragraphs>112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56251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Rinner</dc:creator>
  <cp:lastModifiedBy>Microsoft-Konto</cp:lastModifiedBy>
  <cp:revision>2</cp:revision>
  <cp:lastPrinted>2022-10-19T12:49:00Z</cp:lastPrinted>
  <dcterms:created xsi:type="dcterms:W3CDTF">2022-10-20T12:35:00Z</dcterms:created>
  <dcterms:modified xsi:type="dcterms:W3CDTF">2022-10-20T12:35:00Z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base_uid">
    <vt:lpwstr>0000034771</vt:lpwstr>
  </property>
</Properties>
</file>